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На основу чл. 109 и чл. 110 Статута града Врања (Службени гласник града Врања бр.37/18) и чл. 20 Одлуке о Јавним расправама ( Службени гласник града Врања бр.11/19), Градско веће града Врања, на седници одржаној дана 12.07.2019.године, објављује:</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ЈАВНИ ПОЗИВ</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УЧЕШЋЕ У ЈАВНОЈ РАСПРАВИ СА ПРОГРАМОМ ЈАВНЕ РАСПРАВЕ</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Градско Веће града Врања, организује и спроводи Јавну расправу на нацрт Локалног Антикорупцијског плана за град Врање, који је припремила радна група формирана на основу Решења Градоначелника града Врања бр. 02-118/2019-17 од 21.05.2019. године.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II</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Позивају се заинтересовани грађани, представници удружења грађана, невладиних организација и средстава јавног информисања да поднесу предлоге, сугестије и мишљења на Нацрт Локалног антикорупцијског плана за град Врање у писаној или електронској форми на сајт: </w:t>
      </w:r>
      <w:hyperlink xmlns:r="http://schemas.openxmlformats.org/officeDocument/2006/relationships" r:id="docRId0">
        <w:r>
          <w:rPr>
            <w:rFonts w:ascii="Times New Roman" w:hAnsi="Times New Roman" w:cs="Times New Roman" w:eastAsia="Times New Roman"/>
            <w:color w:val="0000FF"/>
            <w:spacing w:val="0"/>
            <w:position w:val="0"/>
            <w:sz w:val="28"/>
            <w:u w:val="single"/>
            <w:shd w:fill="auto" w:val="clear"/>
          </w:rPr>
          <w:t xml:space="preserve">vece@vranje.org.rs</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 непосредно путем писарнице Градске Управе града Врања, која се налази у ул. Краља Милана бр.1 у периоду од 07:30 до 15:30 часова сваког радног дана у периоду од.</w:t>
      </w:r>
    </w:p>
    <w:p>
      <w:pPr>
        <w:spacing w:before="0" w:after="0" w:line="24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Нацрт Локалног антикорупцијског плана за град Врање биће објављен на сајту града Врања: </w:t>
      </w:r>
      <w:hyperlink xmlns:r="http://schemas.openxmlformats.org/officeDocument/2006/relationships" r:id="docRId1">
        <w:r>
          <w:rPr>
            <w:rFonts w:ascii="Times New Roman" w:hAnsi="Times New Roman" w:cs="Times New Roman" w:eastAsia="Times New Roman"/>
            <w:color w:val="0000FF"/>
            <w:spacing w:val="0"/>
            <w:position w:val="0"/>
            <w:sz w:val="28"/>
            <w:u w:val="single"/>
            <w:shd w:fill="auto" w:val="clear"/>
          </w:rPr>
          <w:t xml:space="preserve">www.vranje.org.rs</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делу документа – конкурси, огласи, јавни позиви.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III</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Обавештавају се заинтересована лица да ће Јавна расправа на Нацрт Локалног антикорупцијског плана за град Врање бити одржана дана 22.07.2019.године у великој сали Скупштине града Врања, која се налази у ул. Краља Милана бр.1,  са почетком у 12:00 часова.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tabs>
          <w:tab w:val="left" w:pos="5265"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r>
      <w:r>
        <w:rPr>
          <w:rFonts w:ascii="Times New Roman" w:hAnsi="Times New Roman" w:cs="Times New Roman" w:eastAsia="Times New Roman"/>
          <w:b/>
          <w:color w:val="auto"/>
          <w:spacing w:val="0"/>
          <w:position w:val="0"/>
          <w:sz w:val="28"/>
          <w:shd w:fill="auto" w:val="clear"/>
        </w:rPr>
        <w:t xml:space="preserve">ПРЕДСЕДНИК </w:t>
      </w:r>
    </w:p>
    <w:p>
      <w:pPr>
        <w:tabs>
          <w:tab w:val="left" w:pos="5265"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 xml:space="preserve">       </w:t>
      </w:r>
      <w:r>
        <w:rPr>
          <w:rFonts w:ascii="Times New Roman" w:hAnsi="Times New Roman" w:cs="Times New Roman" w:eastAsia="Times New Roman"/>
          <w:b/>
          <w:color w:val="auto"/>
          <w:spacing w:val="0"/>
          <w:position w:val="0"/>
          <w:sz w:val="28"/>
          <w:shd w:fill="auto" w:val="clear"/>
        </w:rPr>
        <w:t xml:space="preserve">ГРАДСКОГ ВЕЋА,</w:t>
      </w:r>
    </w:p>
    <w:p>
      <w:pPr>
        <w:tabs>
          <w:tab w:val="left" w:pos="5265"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др. Слободан Миленковић</w:t>
      </w:r>
    </w:p>
    <w:p>
      <w:pPr>
        <w:tabs>
          <w:tab w:val="left" w:pos="5265"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tabs>
          <w:tab w:val="left" w:pos="5265"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300" w:line="240"/>
        <w:ind w:right="0" w:left="0" w:firstLine="0"/>
        <w:jc w:val="left"/>
        <w:rPr>
          <w:rFonts w:ascii="Cambria" w:hAnsi="Cambria" w:cs="Cambria" w:eastAsia="Cambria"/>
          <w:color w:val="17365D"/>
          <w:spacing w:val="5"/>
          <w:position w:val="0"/>
          <w:sz w:val="52"/>
          <w:shd w:fill="auto" w:val="clear"/>
        </w:rPr>
      </w:pPr>
      <w:r>
        <w:rPr>
          <w:rFonts w:ascii="Cambria" w:hAnsi="Cambria" w:cs="Cambria" w:eastAsia="Cambria"/>
          <w:color w:val="17365D"/>
          <w:spacing w:val="5"/>
          <w:position w:val="0"/>
          <w:sz w:val="52"/>
          <w:shd w:fill="auto" w:val="clear"/>
        </w:rPr>
        <w:t xml:space="preserve">Л</w:t>
      </w:r>
      <w:r>
        <w:rPr>
          <w:rFonts w:ascii="Cambria" w:hAnsi="Cambria" w:cs="Cambria" w:eastAsia="Cambria"/>
          <w:color w:val="17365D"/>
          <w:spacing w:val="5"/>
          <w:position w:val="0"/>
          <w:sz w:val="52"/>
          <w:shd w:fill="auto" w:val="clear"/>
        </w:rPr>
        <w:t xml:space="preserve">ОКАЛНИ АНТИКОРУПЦИЈСКИ ПЛАН</w:t>
      </w:r>
    </w:p>
    <w:p>
      <w:pPr>
        <w:suppressAutoHyphens w:val="true"/>
        <w:spacing w:before="0" w:after="300" w:line="240"/>
        <w:ind w:right="0" w:left="0" w:firstLine="0"/>
        <w:jc w:val="left"/>
        <w:rPr>
          <w:rFonts w:ascii="Cambria" w:hAnsi="Cambria" w:cs="Cambria" w:eastAsia="Cambria"/>
          <w:color w:val="17365D"/>
          <w:spacing w:val="5"/>
          <w:position w:val="0"/>
          <w:sz w:val="52"/>
          <w:shd w:fill="auto" w:val="clear"/>
        </w:rPr>
      </w:pPr>
    </w:p>
    <w:p>
      <w:pPr>
        <w:suppressAutoHyphens w:val="true"/>
        <w:spacing w:before="0" w:after="300" w:line="240"/>
        <w:ind w:right="0" w:left="0" w:firstLine="0"/>
        <w:jc w:val="left"/>
        <w:rPr>
          <w:rFonts w:ascii="Cambria" w:hAnsi="Cambria" w:cs="Cambria" w:eastAsia="Cambria"/>
          <w:color w:val="17365D"/>
          <w:spacing w:val="5"/>
          <w:position w:val="0"/>
          <w:sz w:val="52"/>
          <w:shd w:fill="auto" w:val="clear"/>
        </w:rPr>
      </w:pPr>
      <w:r>
        <w:rPr>
          <w:rFonts w:ascii="Cambria" w:hAnsi="Cambria" w:cs="Cambria" w:eastAsia="Cambria"/>
          <w:color w:val="17365D"/>
          <w:spacing w:val="5"/>
          <w:position w:val="0"/>
          <w:sz w:val="52"/>
          <w:shd w:fill="auto" w:val="clear"/>
        </w:rPr>
        <w:t xml:space="preserve">ЗА ГРАД ВРАЊЕ</w:t>
      </w:r>
    </w:p>
    <w:p>
      <w:pPr>
        <w:suppressAutoHyphens w:val="true"/>
        <w:spacing w:before="0" w:after="300" w:line="240"/>
        <w:ind w:right="0" w:left="0" w:firstLine="0"/>
        <w:jc w:val="left"/>
        <w:rPr>
          <w:rFonts w:ascii="Cambria" w:hAnsi="Cambria" w:cs="Cambria" w:eastAsia="Cambria"/>
          <w:color w:val="17365D"/>
          <w:spacing w:val="5"/>
          <w:position w:val="0"/>
          <w:sz w:val="52"/>
          <w:shd w:fill="auto" w:val="clear"/>
        </w:rPr>
      </w:pPr>
    </w:p>
    <w:p>
      <w:pPr>
        <w:suppressAutoHyphens w:val="true"/>
        <w:spacing w:before="0" w:after="300" w:line="240"/>
        <w:ind w:right="0" w:left="0" w:firstLine="0"/>
        <w:jc w:val="left"/>
        <w:rPr>
          <w:rFonts w:ascii="Cambria" w:hAnsi="Cambria" w:cs="Cambria" w:eastAsia="Cambria"/>
          <w:color w:val="17365D"/>
          <w:spacing w:val="5"/>
          <w:position w:val="0"/>
          <w:sz w:val="52"/>
          <w:shd w:fill="auto" w:val="clear"/>
        </w:rPr>
      </w:pPr>
      <w:r>
        <w:rPr>
          <w:rFonts w:ascii="Cambria" w:hAnsi="Cambria" w:cs="Cambria" w:eastAsia="Cambria"/>
          <w:color w:val="17365D"/>
          <w:spacing w:val="5"/>
          <w:position w:val="0"/>
          <w:sz w:val="52"/>
          <w:shd w:fill="auto" w:val="clear"/>
        </w:rPr>
        <w:t xml:space="preserve">ЈУН 2019</w:t>
      </w:r>
    </w:p>
    <w:p>
      <w:pPr>
        <w:suppressAutoHyphens w:val="true"/>
        <w:spacing w:before="0" w:after="30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keepNext w:val="true"/>
        <w:keepLines w:val="true"/>
        <w:spacing w:before="200" w:after="0" w:line="240"/>
        <w:ind w:right="0" w:left="0" w:firstLine="0"/>
        <w:jc w:val="left"/>
        <w:rPr>
          <w:rFonts w:ascii="Cambria" w:hAnsi="Cambria" w:cs="Cambria" w:eastAsia="Cambria"/>
          <w:b/>
          <w:color w:val="4F81BD"/>
          <w:spacing w:val="0"/>
          <w:position w:val="0"/>
          <w:sz w:val="20"/>
          <w:shd w:fill="auto" w:val="clear"/>
        </w:rPr>
      </w:pPr>
      <w:r>
        <w:rPr>
          <w:rFonts w:ascii="Cambria" w:hAnsi="Cambria" w:cs="Cambria" w:eastAsia="Cambria"/>
          <w:b/>
          <w:color w:val="4F81BD"/>
          <w:spacing w:val="0"/>
          <w:position w:val="0"/>
          <w:sz w:val="20"/>
          <w:shd w:fill="auto" w:val="clear"/>
        </w:rPr>
        <w:t xml:space="preserve">УВОД</w:t>
      </w: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Увод</w:t>
      </w: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Акциони план за преговарање Србије о чланству у Европској унији за Поглавље број 23, усвојен на седници Владе Републике Србије 27.априла 2016.године, предвиђа јачање превентивних антикорупцијских механизама на нивоу локалне самоуправе, која је у препоруци из Извештаја о скринингу идентификована као једна од областипосебно осетљивих на корупцију. Овим документом је предвиђено да градови и општине усвоје и примене локалне акционе планове за борбу против корупције, односно локалне антикорупцијске планове (у даљем тексту ЛАП).Ови планови представљају документе у којима се идентификују надлежности, области, процеси и процедуре ризичнеза настанак различитих облика корупције и којима се предлажу начини за управљање овим ризицима, односно начини за њихово отклањање.Применом локалних акционих планова и успостављањем адекватних механизама за праћење њиховог спровођења, јединице локалне самоуправе јачају своју отпорност нанастанак корупције, на неправилности и злоупотребе јавних ресурса, односно јачају своје капацитете за заштиту, заступање и остваривање јавног интереса локалне заједнице.</w:t>
      </w: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Усвајање и примена локалних антикорупцијских планова у складу је и са једним од циљева Националне стратегије за борбу против корупције у Републици Србији за период од 2013.до 2018.године, усвојене 1. јула 2013. године, која такође препознаје проблем непостојања системске антикорупцијске политике на нивоу јединица локалне самоуправе, односно политике која би се односила на све ЈЛС, али која би уважавала специфичности и потребе сваке од њих. Из описа овог проблема проистиче и потреба за адекватним локалним антикорупцијским механизмима који, како је наведено у Стратегији, треба да обезбеде транспарентан рад органа територијалне аутономије, локалне самоуправе и њима подређених јавних предузећа, као и транспарентно креирање и трошење буџета и адекватан одговор цивилног друштва и медија на корупцијске изазове. Наведеним описом дат је оквир у коме би требало да се крећу акциони планови за борбу против корупције на поменутим нивоима територијалне организације, односно циљеви које ови документи треба да постигну.</w:t>
      </w: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ЛАП за Град Врање представља превентивни антикорупцијски механизам и механизам за увођење начела доброг управљања и добре управе у рад органа и служби Града и других органа јавне власти који на локалном нивоу задовољавају потребе и интересе локалног становништва и локалне заједнице.ЛАП је заснован на идентификовању нормативних, институционалних, организационих и практичних ризика за настанак корупције и на спровођењу мера за њихово отклањање, односно на отклањању узрока за настанак корупције, злоупотреба и неправилности и отклањању лошег управљања у најширем смислу речи.Сврха овог документа, односно његовог усвајања, ефикасне примене, конзистентног праћења и мерења ефеката јесте дасе Град Врање учини отпорнијимна коруптивне ризике који постоје у оквиру у ком остварује своје надлежности, односно да у перспективи утиче на смањење корупције.</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Узроци корупције су различити и вишеструки.Они настају у одређеном конкретном друштвеном, политичком и правно-институционалном контексту, односно на одређеним степенима развоја друштвене и личне одговорности и интегритета.Са променама ових околоности, мењају се и узроци и појавни облици корупције, еволуирају у своје перфидније и сложеније форме, што захтева стално и не увек једноставно и лако трагање за мерама којима се конкретни узроци и облици корупције могу открити, процесуирати или спречити. На овај начин треба разумети и ЛАП, као само један од могућих и садашњем степену развоја прилагођених антикорупцијских алата на локалном нивоу, који не може и неће једном и за свагда решити проблем корупције, али који, уколико се добро разуме, искрено прихвати и адекватно примени, може значајно утицати на процес решавање проблема корупције.</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ЛАП за Град Врање полази од одређеног разумевања коруптивних ризика, односно циљеви који су у њему дефинисани треба да представљају пожељно будуће стање у ком су ти ризици отклоњени или макар сведени на минимум. Реч је о следећим појавама</w:t>
      </w:r>
      <w:r>
        <w:rPr>
          <w:rFonts w:ascii="Times New Roman" w:hAnsi="Times New Roman" w:cs="Times New Roman" w:eastAsia="Times New Roman"/>
          <w:b/>
          <w:color w:val="auto"/>
          <w:spacing w:val="0"/>
          <w:position w:val="0"/>
          <w:sz w:val="20"/>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постојање превеликих и/или непотребних дискреционих овлашћења у којима орган, служба, тело или службеник ЈЛС доноси одређену одлуку, односно одсуство јасних, прецизних и унапред утврђених услова, критеријума и мерила за доношење одлуке.Дискрециона овлашћења у доношењу појединачне одлуке нужно морају да постоје, али је питање каквог су она карактера и да ли су и на који начин ограничена.Другим речима, уколико та овлашћења нису ограничена и унапред позната свим учесницима једног процеса доношења одлуке, она врло лако могу довести до корупције.Због тога се значајан број циљева у ЛАП односи на потребу и значај смањења дискреционих овлашћења, односно на увођење услова, критеријума и мерила за доношење одлуке у најразличитијим областима.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одсуство јавности рада, односно одсуство транспарентности у раду; корупција настаје углавном тамо где не постоји могућности да се она открије, да се о њој сазна и да се због тога доживи осуда било које врсте (друштвена, морална, политичка или правна).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одсуство одговорности („полагања рачуна“) за рад, које у себи може садржати, на пример, следеће елементе: одсуство образлагања донете одлуке, одсуство могућности преиспитивања донете одлуке, одсуство извештавања о раду и одговарања за свој рад и слично, као и одсуство моралне, политичке, дисциплинске, прекршајне или кривичне одговорности.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одсуство (адекватног) надзора и контроле, било да она долази изнутра или споља (од других органа и инстанци или од јавности). Начелно посматрано,  не битребало да постоји ниједна ситуација у којој поступање било ког органа јавне власти не подлеже нечијем надзору.</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постојања сувишних процедура и/или непотребних интеракција и контаката између органа, служби, тела и службеника, које често не испуњавају циљ због којих постоје, већ временом постају саме себи сврха и које служе са остварење различитих коруптивних утицаја.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Вредности на којима се заснива сам ЛАП, као и процес његовог усвајања, примене и праћења углавном су једнаке вредностима на којима почива сваки концепт доброг управљања.При том се поштују и додатне вредности које се односе на локални ниво власти. Реч је о следећем:</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 </w:t>
      </w:r>
      <w:r>
        <w:rPr>
          <w:rFonts w:ascii="Times New Roman" w:hAnsi="Times New Roman" w:cs="Times New Roman" w:eastAsia="Times New Roman"/>
          <w:color w:val="auto"/>
          <w:spacing w:val="0"/>
          <w:position w:val="0"/>
          <w:sz w:val="20"/>
          <w:shd w:fill="auto" w:val="clear"/>
        </w:rPr>
        <w:t xml:space="preserve">Одговорност; одговоран процес усвајања ЛАП-а подразумева најмање два елемента: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а) целокупан систем локалне самоуправе, то јест органи Града Врања, јавне службе, јавна предузећа, друге организације у систему локалне самоуправе, као и и цивилно друштво и грађани свесни су своје улоге, односно своје одговорности у остварењу сврхе и постизању циљева овог документа;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 овај документ се сагледава као као унутрашња потреба Града Врања, а не као наметнута бирократско-административна обавеза, коју је потребно само формално испунити.</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 </w:t>
      </w:r>
      <w:r>
        <w:rPr>
          <w:rFonts w:ascii="Times New Roman" w:hAnsi="Times New Roman" w:cs="Times New Roman" w:eastAsia="Times New Roman"/>
          <w:color w:val="auto"/>
          <w:spacing w:val="0"/>
          <w:position w:val="0"/>
          <w:sz w:val="20"/>
          <w:shd w:fill="auto" w:val="clear"/>
        </w:rPr>
        <w:t xml:space="preserve">Транспарентост; с обзиром на то да се јавност рада у Моделу ЛАП-а промовише као једна од основних брана за настанак корупције, целокупан процес усвајања, примене мера и праћења ЛАП-а потребно је учинити што је могуће отворенијим и доступним јавности. Јавност треба да има могућност и право да зна на који начин је усвојен овај важан документ, какав је статус мера и активности који се у њему налазе и какви су ефекти онога што је на основу њега спроведено.</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3. </w:t>
      </w:r>
      <w:r>
        <w:rPr>
          <w:rFonts w:ascii="Times New Roman" w:hAnsi="Times New Roman" w:cs="Times New Roman" w:eastAsia="Times New Roman"/>
          <w:color w:val="auto"/>
          <w:spacing w:val="0"/>
          <w:position w:val="0"/>
          <w:sz w:val="20"/>
          <w:shd w:fill="auto" w:val="clear"/>
        </w:rPr>
        <w:t xml:space="preserve">Партиципација, односно учешће грађана и локалне заједнице; иако је носилац ЛАП-а локална самоуправа и највећи број мера треба да спроведу њени органи и службе, позитивне ефекте и резултате овог документа треба да осети читава заједница. Због тога су у процес његове израде, са представницима органа Града Врања, били укључени представници јавности, а процес примене ЛАП-а пратиће тело у којем не учествују представници органа власти.</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 </w:t>
      </w:r>
      <w:r>
        <w:rPr>
          <w:rFonts w:ascii="Times New Roman" w:hAnsi="Times New Roman" w:cs="Times New Roman" w:eastAsia="Times New Roman"/>
          <w:color w:val="auto"/>
          <w:spacing w:val="0"/>
          <w:position w:val="0"/>
          <w:sz w:val="20"/>
          <w:shd w:fill="auto" w:val="clear"/>
        </w:rPr>
        <w:t xml:space="preserve">Ефикасност и ефективност: процес усвајања, примене и праћења ЛАП-а потребно је спровести поштујући начело да се расположивим ресурсима и капацитетима и у времену које је на располагању добију максимални могући ефекти и учинци (ефективност). Са друге стране, одсуство ресурса и капацитета није довољан разлог да се не предузму активности, јер је расположиво време за решавање неких проблема кратко.Стога је потребно обезбедити и ефикасност.Корупција и њене штетне последице су појава на које треба реаговати ефикасно, брзо и одлучно.</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Проактивност: Овај ниво власти функционише у систему и оквиру који је веома често и у многим областима задат од стране централних нивоа власти, односно законских решења. Међутим, многи закони и други прописи, иако се не доносе на локалном нивоу, на том нивоу се примењују, односно на том нивоу уређују друштвене односе. Управо се у томе налази „простор слободе“ даГрад Врање, препознавши своје могућности, унапреди примену постојећих норми у складу са препознатим проблемима, потребама и специфичностима. Један од механизама за то јесте уградња антикорупцијских одредби у акте које Град Врање усваја ради детаљније разраде примене закона и других прописа донетих на нивоу целе државе.</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6. </w:t>
      </w:r>
      <w:r>
        <w:rPr>
          <w:rFonts w:ascii="Times New Roman" w:hAnsi="Times New Roman" w:cs="Times New Roman" w:eastAsia="Times New Roman"/>
          <w:color w:val="auto"/>
          <w:spacing w:val="0"/>
          <w:position w:val="0"/>
          <w:sz w:val="20"/>
          <w:shd w:fill="auto" w:val="clear"/>
        </w:rPr>
        <w:t xml:space="preserve">ЛАП Града Врања одражава карактер, специфичности, потребеи одлике Града Врања.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Речник појмова који су коришћени уЛАП:</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Област:Област представља надлежност/поље/подручје рада и деловања ЈЛС, односно оквир/контекст у коме ЈЛС остварују своју надлежност. Област је најопштији појам и она представља јединствену целину која по својим карактеристикама садржи различите ризике за настанак корупције.</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Опис области:Опис области представља кратак наративни приказ ризика од корупције у тој области, односно опис важности бављења конкретном облашћу са становишта јавне политике која се односи на сузбијање и борбу против корупције.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Циљ:Циљ представља пожељно/очекивано стање које је потребно постићи, односно стање које ће након примене ЛАП-а омогућити сузбијање корупције у датој области. Једна област може садржати један или више циљева, у зависности од њеног карактера и слoжености.</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Индикатор циља:Индикатор, односно показатељ испуњености циља представља начин/појаву/стање којим се може доказати и/или показати да је циљ испуњен; другим речима, индикатором циља меримо остварење/испуњење циља.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Вредност индикатора:Вредност индикатора може бити базна и циљана (пројектована).Базна вредност индикаторa(односно полазна, садашња, тренутна вредност) представља вредност или меру која одражава постојеће стање у области која је дефинисана индикатором циља. Циљана вредност индикатора (односно будућа, пожељна, планирана, циљана вредност) представља вредност или меру која се жели постићи након спровођења конкретних мера и активности у датој области, односно након испуњења циља.</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Мера:Мера представља наредни корак у операционализацији претходно описаних елемената акционог плана, а пре свега циља који се жели постићи. Она се формулише као радња коју је потребно извести како би се њеним спровођењем дошло до остварења циља.</w:t>
      </w:r>
    </w:p>
    <w:p>
      <w:pPr>
        <w:spacing w:before="0" w:after="20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Индикатор испуњености (квалитета) мере:Индикатором испуњености (квалитета) мере утврђујемо, односно меримо да ли је мера испуњена, као и да ли је испуњена на начин како је то дефинисано.</w:t>
      </w:r>
    </w:p>
    <w:p>
      <w:pPr>
        <w:spacing w:before="0" w:after="20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Активност:Активност представља даљу конкретизацију мера, односно њено рашчлањивање на појединачне кораке из којих се састоји мера.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Индикатори активности:Овом врстом индикатора се мери испуњеност наведене активности.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Одговорни субјект:У овом делу се наводи ко је, према функцији, звању или радном месту, одговоран да се наведена активност реализује.</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Рок:Рок представља временску одредницу до које је неопходно спровести одређену активност. </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Напомене:Рубрика „напомене“је остављена за било какву врсту додатних упутстава, смерница или појашњења која се не могу подвести ни под један од наведених елемената ЛАП.</w:t>
      </w:r>
    </w:p>
    <w:p>
      <w:pPr>
        <w:spacing w:before="0" w:after="0" w:line="360"/>
        <w:ind w:right="0" w:left="0" w:firstLine="0"/>
        <w:jc w:val="left"/>
        <w:rPr>
          <w:rFonts w:ascii="Times New Roman" w:hAnsi="Times New Roman" w:cs="Times New Roman" w:eastAsia="Times New Roman"/>
          <w:color w:val="auto"/>
          <w:spacing w:val="0"/>
          <w:position w:val="0"/>
          <w:sz w:val="20"/>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tbl>
      <w:tblPr/>
      <w:tblGrid>
        <w:gridCol w:w="14645"/>
      </w:tblGrid>
      <w:tr>
        <w:trPr>
          <w:trHeight w:val="1" w:hRule="atLeast"/>
          <w:jc w:val="left"/>
        </w:trPr>
        <w:tc>
          <w:tcPr>
            <w:tcW w:w="1464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keepLines w:val="true"/>
              <w:spacing w:before="0" w:after="0" w:line="240"/>
              <w:ind w:right="0" w:left="0" w:firstLine="0"/>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 Усвајање прописа у органима јединице локалне самоуправе (ЈЛС)</w:t>
            </w:r>
          </w:p>
        </w:tc>
      </w:tr>
      <w:tr>
        <w:trPr>
          <w:trHeight w:val="1" w:hRule="atLeast"/>
          <w:jc w:val="left"/>
        </w:trPr>
        <w:tc>
          <w:tcPr>
            <w:tcW w:w="1464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Једна од важних карактеристика локалне самоуправе као нивоа власти је и то што се у њеној изворној надлежности налази процес усвајања различитих општих правних аката, односно аката који се примењују на неодређени број појединачних случајева и ситуација у регулисању међусобних односа и служе за остваривање потреба и интереса локалног становништва. Према постојећем правном оквиру, Скупштина општине (града) је највиши орган који врши основне функције локалне власти и који, према Закону о локалној самоуправи (“Службени гласник РС”, бр. 129/07, 83/14 - др. закон 101/16и 47/18- др. закон), доноси прописе и друге опште акте. Овим актима, чијим усвајањима њихова примена постаје обавезна на територији ЈЛС, локална представничка тела уређују питања од значаја за функционисање локалне заједнице, што је веома важна функција која мора бити посебно третирана и са антикорупцијског аспекта.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Процес усвајања прописа у било ком типу представничког органа садржи одређене ризике по остваривање и заштиту јавног интереса, који потичу како од саме процедуре усвајања, тако и од њихове садржине и начина на који ће прописи регулисати одређене односе. Најчешћи недостаци у овом процесу су следећи: одсуство транспарентности у свим фазама израде и доступности прописа, усвајање „прописа са одредиштем“ (или „прописа са опредељеним циљем“), односно прописа који се доносе под привидом регулисања општег интереса, а за циљ имају остваривање појединачних интереса, као и усвајање прописа са одредбама које садрже ризике за настанак корупције, а до које може доћи у њиховој примени. Услед својих специфичности и значаја, сваки од ових појединачних сегмената захтева посебан третман у оквиру ЛАП-а.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1.1.1., 1.1.2., 1.1.3. и 1.1.5. из Модела ЛАП изостављене су зато што су у потпуности обухваћене Одлуком о јавним расправама.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Grid>
        <w:gridCol w:w="1359"/>
        <w:gridCol w:w="1586"/>
        <w:gridCol w:w="2371"/>
        <w:gridCol w:w="1892"/>
        <w:gridCol w:w="1551"/>
        <w:gridCol w:w="1693"/>
        <w:gridCol w:w="1312"/>
        <w:gridCol w:w="1808"/>
        <w:gridCol w:w="1278"/>
      </w:tblGrid>
      <w:tr>
        <w:trPr>
          <w:trHeight w:val="433" w:hRule="auto"/>
          <w:jc w:val="left"/>
        </w:trPr>
        <w:tc>
          <w:tcPr>
            <w:tcW w:w="148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1.1. Повећана транспарентност у процесу усвајања прописа</w:t>
            </w:r>
          </w:p>
        </w:tc>
      </w:tr>
      <w:tr>
        <w:trPr>
          <w:trHeight w:val="735" w:hRule="auto"/>
          <w:jc w:val="left"/>
        </w:trPr>
        <w:tc>
          <w:tcPr>
            <w:tcW w:w="7208"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4"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98"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1038" w:hRule="auto"/>
          <w:jc w:val="left"/>
        </w:trPr>
        <w:tc>
          <w:tcPr>
            <w:tcW w:w="7208"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обезбеђују отклањање ризика од корупције у процесу усвајања прописа у области јавно приватних партнерстава</w:t>
            </w:r>
          </w:p>
        </w:tc>
        <w:tc>
          <w:tcPr>
            <w:tcW w:w="3244"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Јавне расправе уређене Статутом и посебном Одлуком</w:t>
            </w:r>
          </w:p>
        </w:tc>
        <w:tc>
          <w:tcPr>
            <w:tcW w:w="4398"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Поред постојећих докумената донета и Одлука о објављивању општих аката или одговарајућа одредба Правилника о систематизацији</w:t>
            </w:r>
          </w:p>
        </w:tc>
      </w:tr>
      <w:tr>
        <w:trPr>
          <w:trHeight w:val="1038" w:hRule="auto"/>
          <w:jc w:val="left"/>
        </w:trPr>
        <w:tc>
          <w:tcPr>
            <w:tcW w:w="135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7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5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78"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6790" w:hRule="auto"/>
          <w:jc w:val="left"/>
        </w:trPr>
        <w:tc>
          <w:tcPr>
            <w:tcW w:w="135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1.1.4</w:t>
            </w:r>
          </w:p>
        </w:tc>
        <w:tc>
          <w:tcPr>
            <w:tcW w:w="158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Објављивати опште акте на интернет презентацији ЈЛС.</w:t>
            </w:r>
          </w:p>
        </w:tc>
        <w:tc>
          <w:tcPr>
            <w:tcW w:w="237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Сви општи акти које усвајају органи ЈЛС доступни на интернет презентацији ЈЛС; интернет презентација у овом делу се редовно ажурира, односно сви нови прописи и измене/допуне постојећих се благовремено (на пример, највише у року од недељу дана) постављају на интернет презентацију. </w:t>
            </w:r>
          </w:p>
        </w:tc>
        <w:tc>
          <w:tcPr>
            <w:tcW w:w="189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Донети одлуку о објављивању општих аката у бази општих аката и начин њеног ажурирања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оквиру израде нове веб презентације Града обезбедити објављивање базе свих општих аката са могућношћу претраге </w:t>
            </w:r>
          </w:p>
        </w:tc>
        <w:tc>
          <w:tcPr>
            <w:tcW w:w="155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Донета одлуку о објављивању општих аката у бази општих аката и начин њеног ажурирања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оквиру израде нове веб презентације Града обезбеђено објављивање базе свих општих аката са могућношћу претраге </w:t>
            </w:r>
          </w:p>
        </w:tc>
        <w:tc>
          <w:tcPr>
            <w:tcW w:w="169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 Начелник </w:t>
            </w:r>
          </w:p>
        </w:tc>
        <w:tc>
          <w:tcPr>
            <w:tcW w:w="131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1.9.2019.</w:t>
            </w:r>
          </w:p>
        </w:tc>
        <w:tc>
          <w:tcPr>
            <w:tcW w:w="180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78"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Координисати са израдом нове веб-презентације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Служба за органе Града тренутно доставља Службеном гласнику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Извршити измену у оквиру Правилника о систематизацији радних места</w:t>
            </w:r>
          </w:p>
        </w:tc>
      </w:tr>
      <w:tr>
        <w:trPr>
          <w:trHeight w:val="1352" w:hRule="auto"/>
          <w:jc w:val="left"/>
        </w:trPr>
        <w:tc>
          <w:tcPr>
            <w:tcW w:w="135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1.1.6</w:t>
            </w:r>
          </w:p>
        </w:tc>
        <w:tc>
          <w:tcPr>
            <w:tcW w:w="158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Објављивати извештаје о примени прописа/о ефектима прописа.</w:t>
            </w:r>
          </w:p>
        </w:tc>
        <w:tc>
          <w:tcPr>
            <w:tcW w:w="237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Извештаји о примени прописа/ефектима прописа се израђују и објављују за све оне области за које је дефинисана и обавеза спровођења јавне расправе, односно чији је јавни значај такав да примена прописа значајно утиче на квалитет живота становника на територији ЈЛС. </w:t>
            </w:r>
          </w:p>
        </w:tc>
        <w:tc>
          <w:tcPr>
            <w:tcW w:w="189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Унутар сваког од општих аката и аката јавних политика за које је прописана обавеза спровођења јавне расправе предвидети обавезу израде извештаја о примени и ефектима примене акта</w:t>
            </w:r>
          </w:p>
        </w:tc>
        <w:tc>
          <w:tcPr>
            <w:tcW w:w="155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Унутар сваког од општих аката и аката јавних политика за које је прописана обавеза спровођења јавне расправе предвиђа се и обавеза израде извештаја о примени и ефектима примене акта</w:t>
            </w:r>
          </w:p>
        </w:tc>
        <w:tc>
          <w:tcPr>
            <w:tcW w:w="169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Обрађивачи општих аката и аката јавне политике (руководиоци одељења у оквиру градске управе)</w:t>
            </w:r>
          </w:p>
        </w:tc>
        <w:tc>
          <w:tcPr>
            <w:tcW w:w="1312"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Одредити року сваком општем акту</w:t>
            </w:r>
          </w:p>
        </w:tc>
        <w:tc>
          <w:tcPr>
            <w:tcW w:w="180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78"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Извештаји се већ припремају за буџет.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Предвидети извештавање о спровођењу:</w:t>
            </w:r>
          </w:p>
          <w:p>
            <w:pPr>
              <w:numPr>
                <w:ilvl w:val="0"/>
                <w:numId w:val="55"/>
              </w:numPr>
              <w:suppressLineNumbers w:val="true"/>
              <w:tabs>
                <w:tab w:val="left" w:pos="420" w:leader="none"/>
              </w:tabs>
              <w:suppressAutoHyphens w:val="true"/>
              <w:spacing w:before="0" w:after="0" w:line="240"/>
              <w:ind w:right="0" w:left="420" w:hanging="42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Статута</w:t>
            </w:r>
          </w:p>
          <w:p>
            <w:pPr>
              <w:numPr>
                <w:ilvl w:val="0"/>
                <w:numId w:val="55"/>
              </w:numPr>
              <w:suppressLineNumbers w:val="true"/>
              <w:tabs>
                <w:tab w:val="left" w:pos="420" w:leader="none"/>
              </w:tabs>
              <w:suppressAutoHyphens w:val="true"/>
              <w:spacing w:before="0" w:after="0" w:line="240"/>
              <w:ind w:right="0" w:left="420" w:hanging="42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Одлуке о изворним приходима</w:t>
            </w:r>
          </w:p>
          <w:p>
            <w:pPr>
              <w:numPr>
                <w:ilvl w:val="0"/>
                <w:numId w:val="55"/>
              </w:numPr>
              <w:suppressLineNumbers w:val="true"/>
              <w:tabs>
                <w:tab w:val="left" w:pos="420" w:leader="none"/>
              </w:tabs>
              <w:suppressAutoHyphens w:val="true"/>
              <w:spacing w:before="0" w:after="0" w:line="240"/>
              <w:ind w:right="0" w:left="420" w:hanging="42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Просторни и урбанистички планови </w:t>
            </w:r>
          </w:p>
          <w:p>
            <w:pPr>
              <w:numPr>
                <w:ilvl w:val="0"/>
                <w:numId w:val="55"/>
              </w:numPr>
              <w:suppressLineNumbers w:val="true"/>
              <w:tabs>
                <w:tab w:val="left" w:pos="420" w:leader="none"/>
              </w:tabs>
              <w:suppressAutoHyphens w:val="true"/>
              <w:spacing w:before="0" w:after="0" w:line="240"/>
              <w:ind w:right="0" w:left="420" w:hanging="42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Стратешки планови развоја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95"/>
      </w:tblGrid>
      <w:tr>
        <w:trPr>
          <w:trHeight w:val="1" w:hRule="atLeast"/>
          <w:jc w:val="left"/>
        </w:trPr>
        <w:tc>
          <w:tcPr>
            <w:tcW w:w="1413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 1.2. Отклоњени ризици од корупције кроз увођење механизама којима се спречава усвајање „прописа са опредељеним циљем“, односно „прописа са одредиштем“</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Мера број 1.2.3., из Модела ЛАП је изостављена зато штосу дефинисана Јединствена методолошка правила за израду прописа у Службеном гласнику Града Врања број 3/2018</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41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којима се уводе механизми за спречавање усвајања „прописа са опредељеним циљем“, односно „прописа са одредиштем“</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Постоји једна Одлука о изради прописа. Не постоји Одлука о пријављивању интереса приликом израде прописа</w:t>
            </w:r>
          </w:p>
        </w:tc>
        <w:tc>
          <w:tcPr>
            <w:tcW w:w="441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Уређено и пријављивање интереса приликом израде прописа</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9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w:t>
            </w:r>
            <w:r>
              <w:rPr>
                <w:rFonts w:ascii="Times New Roman" w:hAnsi="Times New Roman" w:cs="Times New Roman" w:eastAsia="Times New Roman"/>
                <w:i/>
                <w:color w:val="auto"/>
                <w:spacing w:val="0"/>
                <w:position w:val="0"/>
                <w:sz w:val="24"/>
                <w:shd w:fill="auto" w:val="clear"/>
              </w:rPr>
              <w:t xml:space="preserve">пријављивања интереса</w:t>
            </w:r>
            <w:r>
              <w:rPr>
                <w:rFonts w:ascii="Times New Roman" w:hAnsi="Times New Roman" w:cs="Times New Roman" w:eastAsia="Times New Roman"/>
                <w:color w:val="auto"/>
                <w:spacing w:val="0"/>
                <w:position w:val="0"/>
                <w:sz w:val="24"/>
                <w:shd w:fill="auto" w:val="clear"/>
              </w:rPr>
              <w:t xml:space="preserve"> за усвајање општих аката.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Јавни функционери ЈЛС (градоначелник/председник општине, одборници/чланови општинског/градског већа ЈЛС) су обавезни да приликом учествовања у усвајању општих аката известе скупштину/општинско/градско веће ЈЛС и јавност о томе да у области на коју се акт односи он/она или са њим/њом повезана лица (у смислу Закона о Агенцији за борбу против корупције) имају приватни интерес или корист, осим ако ту корист или интерес имају као грађани или део групе грађана;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јавно доступан регистар ових пријава;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скупштинску одлуку којом би била прописана обавеза пријављивања и објављивања приватних интереса јавних функционера у поступку доношења општих аката, као и успостављање регистра пријављених интереса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Усвојена скупштинска одлуку којом је прописана обавеза пријављивања и објављивања приватних интереса јавних функционера у поступку доношења општих аката, и успостављен регистар пријављених интереса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Служба за скупштинске послове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ИТ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15.12.2019.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9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333333"/>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ИскориститиМодел Одлуке о пријављивању и управљању приватним интересима јавних функционера у поступку доношења општих аката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Ускладити са новим Законом о спречавању корупције и Законом о лобирању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Прецизирати приватне интересе који се пријављују (укључујући власништво у привредним субјектима, власништво над земљиштем и објектима итд.)</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Уредити да се пријављује приватни интерес секретару скупштине, секретару већа (градоначелник и заменик такође пријављују секретару већа)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Узети у обзир модел СКГО-а</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1.2.2</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управљања </w:t>
            </w:r>
            <w:r>
              <w:rPr>
                <w:rFonts w:ascii="Times New Roman" w:hAnsi="Times New Roman" w:cs="Times New Roman" w:eastAsia="Times New Roman"/>
                <w:i/>
                <w:color w:val="auto"/>
                <w:spacing w:val="0"/>
                <w:position w:val="0"/>
                <w:sz w:val="24"/>
                <w:shd w:fill="auto" w:val="clear"/>
              </w:rPr>
              <w:t xml:space="preserve">пријављеним интересима</w:t>
            </w:r>
            <w:r>
              <w:rPr>
                <w:rFonts w:ascii="Times New Roman" w:hAnsi="Times New Roman" w:cs="Times New Roman" w:eastAsia="Times New Roman"/>
                <w:color w:val="auto"/>
                <w:spacing w:val="0"/>
                <w:position w:val="0"/>
                <w:sz w:val="24"/>
                <w:shd w:fill="auto" w:val="clear"/>
              </w:rPr>
              <w:t xml:space="preserve">.</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случајеве непријављивања интереса, прописане су санкције финансијске природе које су најмање у рангу санкција за повреде пословника о раду скупштине/општинског/градског већа ЈЛС;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 процесу успостављања регистра дефинисани следећи елементи: организациона јединица/тело у оквиру ЈЛС које води регистар; начин вођења регистра; начин праћења извршења обавезе пријављивања интереса; начин вођења поступка због кршења обавезе пријављивања; објављивање одлука о кршењу ових обавеза.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Актом из тачке 1.2.1. предвидети могућност изрицања мера у случају непријављивања привантних интереса које би биле аналогне мерама из новог Закона о спречавању корупције, односно мерама из Одлуке о оснивању и Пословника о раду Савета за праћење примене етичког кодекса понашања функционера локалне самоуправе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са прдевиђеним сарджајем</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Служба за скупштинске послове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ИТ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15.12. 2019.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9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Ускладити са решењима из новог Закона о спречавању корупције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95"/>
      </w:tblGrid>
      <w:tr>
        <w:trPr>
          <w:trHeight w:val="1" w:hRule="atLeast"/>
          <w:jc w:val="left"/>
        </w:trPr>
        <w:tc>
          <w:tcPr>
            <w:tcW w:w="1413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1.3. Отклоњени ризици од корупције кроз увођење механизама за спречавање усвајања прописа који садрже ризике од корупције</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41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обезбеђују отклањање ризика од корупције у примени прописа у области јавно приватних партнерстава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Обавеза није прописана</w:t>
            </w:r>
          </w:p>
        </w:tc>
        <w:tc>
          <w:tcPr>
            <w:tcW w:w="441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Обавеза је прописана Пословником Скупштине Града</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9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капацитет ЈЛС за спречавање усвајања прописа са уграђеним ризицима за корупцију.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Створене организационе претпоставке за бављење овом надлежношћу/именовано лице/лица надлежна за анализу ризика од корупције у локалним прописима; обезбеђена обука лица која ће се бавити овом надлежношћу; успостављена обавеза да се анализа ризика од корупције доставља заједно са нацртом прописа приликом усвајања; успостављена обавеза извештавања, односно упознавања јавности са анализама ризика од корупције у прописима.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Уредити обавезу кроз измене пословника Скупштине Града  тако да се анализа врши у образложењу нацрта/предлога акта.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Пословник мењати након доношења одговарајућих прописа на републичком нивоу.</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Омогућити запосленима да похађају обуке на ову тему коју буду организовале агенција за БПК и други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Уређена обавеза кроз измене пословника Скупштине Градаса предвиђеним садржајем.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Пословник измењен након измене Закона.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Запосленима омогућено да похађају обуке.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Три месеца након доношења прописа на републичком нивоу</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9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Повезати са одредбама новог Закона о спречавању коруппције и методологијом за анализу ризика.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Повезати са обавезама обрађивача и радних група.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Повезати са обавезама ЛАФ</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4130"/>
      </w:tblGrid>
      <w:tr>
        <w:trPr>
          <w:trHeight w:val="1" w:hRule="atLeast"/>
          <w:jc w:val="left"/>
        </w:trPr>
        <w:tc>
          <w:tcPr>
            <w:tcW w:w="1413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keepLines w:val="true"/>
              <w:spacing w:before="0" w:after="0" w:line="240"/>
              <w:ind w:right="0" w:left="0" w:firstLine="0"/>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2: Управљање сукобом интереса на локалном нивоу</w:t>
            </w:r>
          </w:p>
        </w:tc>
      </w:tr>
      <w:tr>
        <w:trPr>
          <w:trHeight w:val="1" w:hRule="atLeast"/>
          <w:jc w:val="left"/>
        </w:trPr>
        <w:tc>
          <w:tcPr>
            <w:tcW w:w="1413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На локалном нивоу власти присутан је велики број функционера у смислу одредаба Закона о Агенцији за борбу против корупције (“Службени гласник РС”, бр. 97/08, 53/10, 66/11 - одлука УС, 67/13 - одлука УС, 112/13 - аутентично тумачење и 8/15 - одлука УС). Они имају значајан утицај на процес доношења одлука, односно у могућности су да одлучују о јавном интересу и да доношењем одлука (општих и појединачних) подреде јавни интерес приватном, што је једна од најопштијих дефиниција сукоба интереса. Услед једне од одлика локалне заједнице, која се може назвати недовољном конкуренцијом људског капитала (недовољан број људи са потребним управљачким и лидерским капацитетима, нарочито у малим локалним самоуправама које су услед демографских кретања у депопулацији), често долази до монополизације моћи и утицаја, односно до ситуације у којој мали број појединаца држи кључне позиције у различитим секторима функционисања локалне средине (јавном, приватном и цивилном сектору). Специфичност локалне самоуправе у овом погледу је и у томе што је једна група локалних функционера изабрана на непосредним изборима, услед чега подлежу нешто другачијем регулисању неспојивости функција и сукоба интереса. На овом нивоу власти се и начин доласка на функцију, односно чињеница непосредног избора ове групе функционера, често тумачи и као основ посебне врсте легитимитета за коју се сматра да аболира одборнике од обавеза у заступању и заштити јавног интереса, што не сме бити случај, напротив. Сви ови фактори утичу на то да су појавни облици и различите врсте сукоба интереса на локалном нивоу присутни и да нужно морају бити предмет регулисања локалног антикорупцијског плана. Осим функционера, посебну пажњу у овој области потребно је посветити и службеницима, односно запосленима у органима ЈЛС.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Случајеви сукоба интереса на локалном нивоу морају бити препознати и локалним документима, јер је увек питање колико таквих случајева уопште доспе до Агенције на поступање, уколико их локална средина не препознаје. Локална заједница мора бити први ниво који ће такве моделе понашања препознавати, спречавати и упућивати на за то предвиђено поступање.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05"/>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2.1. Повећана транспарентност у погледу постојања приватног интереса јавних функционера или приватног интереса са њима повезаних лица, као околности која може водити сукобу интереса.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Усвојене/измењене јавне политике на нивоу ЈЛС које омогућавају пуну транспарентност у погледу постојања приватног интереса јавних функционера или приватног интереса са њима повезаних лица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Не постоји обавеза објаављивања приватних интереса на локалном нивоу</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Донета посебна Одлука и успостављен Регистар који је доступан на веб презентацији</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пријављивања приватних интереса јавних функционера и приватних интереса са њима повезаних лица.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Јавни функционери ЈЛС (градоначелник/председник општине, одборници/чланови општинског/градског већа ЈЛС) су обавезни да органу/служби ЈЛС приликом ступања на функцију пријаве своје и за њих повезана лица приватне интересе у следећем смислу речи: власништво над предузетничком радњом и власништво над приватним предузећима, као и власничке уделе у приватним предузећима; чланство у другим органима управљања/надзора над приватним предузећима; остале везе и односе са субјектима из приватног сектора који могу имати утицај на вршење јавне функције.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јавно доступан регистар ових пријава;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Одлуком из тачке 1.2.1 уредити формирање Регистра јавних функционера који би садржао све тражене информације (имовинско стање, сукоб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Успоставити Регистар</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Уређена обавеза израде  Регистра са наведеним садржајем</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Регистар успостављен</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послове органа Града – Служба за скупштинске послове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Октобар 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Март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333333"/>
                <w:spacing w:val="0"/>
                <w:position w:val="0"/>
                <w:sz w:val="24"/>
                <w:shd w:fill="auto" w:val="clear"/>
              </w:rPr>
              <w:t xml:space="preserve">Ускладити са Моделом Правилника о управљању сукобом интереса за запослене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процесу припреме обратити пажњу на одредбе новог Закона о спречавању корупције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spacing w:val="0"/>
                <w:position w:val="0"/>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2.1.2</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управљања пријављеним интересима јавних функционера и приватних интереса са њима повезаних лица.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случајеве непријављивања интереса, прописане санкције финансијске природе које су најмање у рангу санкција за повреде пословника о раду скупштине/општинског/градског већа ЈЛС;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 процесу успостављања регистра дефинисани следећи елементи: организациона јединица/тело у оквиру ЈЛС које води регистар; начин вођења регистра; начин праћења извршења обавезе пријављивања; начин вођења поступка због кршења обавезе пријављивања; објављивање одлука о кршењу ових обавеза.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Актом из тачке 1.2.1 прописати мере које се могу изрећи због кршења обавеза, надлежни орган или тело за вођење поступка изрицања мера, објављивање одлука о кршењу обавеза и начин вођења Регистра, начин праћења испуњава обавезе, вођење посутпка због кршења обавезе и објављивање одлука о кршењу обавеза.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са предвиђеним садржајем</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доношење акта као у тачци 1.2.1</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вођење Регистра,Одељење за послове органа Града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за скупштинске послове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Март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Извршити консултације са Саветом за праћење примене Етичког кодекса</w:t>
            </w: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05"/>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2.2. Успостављен механизам за спречавање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трговине јавним овлашћењима“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Омогућен увид јавности у све уговоре које су органи ЈЛС, као и све јавне службе, јавна предузећа, друге организације којима је оснивач ЈЛС,закључили са функционерима (</w:t>
            </w:r>
            <w:r>
              <w:rPr>
                <w:rFonts w:ascii="Times New Roman" w:hAnsi="Times New Roman" w:cs="Times New Roman" w:eastAsia="Times New Roman"/>
                <w:i/>
                <w:color w:val="auto"/>
                <w:spacing w:val="0"/>
                <w:position w:val="0"/>
                <w:sz w:val="24"/>
                <w:shd w:fill="auto" w:val="clear"/>
              </w:rPr>
              <w:t xml:space="preserve">функционерима</w:t>
            </w:r>
            <w:r>
              <w:rPr>
                <w:rFonts w:ascii="Times New Roman" w:hAnsi="Times New Roman" w:cs="Times New Roman" w:eastAsia="Times New Roman"/>
                <w:color w:val="auto"/>
                <w:spacing w:val="0"/>
                <w:position w:val="0"/>
                <w:sz w:val="24"/>
                <w:shd w:fill="auto" w:val="clear"/>
              </w:rPr>
              <w:t xml:space="preserve"> у смислу Закона о Агенцији за борбу против корупције) и са запосленима у органима ЈЛС (свих уговора осим уговора о раду)</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Није познат  број објављених уговора ове врсте у односу на број склопљених уговора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Објављени сви уговори у складу са Закључком</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органа ЈЛС, као и свих јавних служби, јавних предузећа, других организација којима је оснивач ЈЛС, да објаве све уговоре које су закључили са функционерима (</w:t>
            </w:r>
            <w:r>
              <w:rPr>
                <w:rFonts w:ascii="Times New Roman" w:hAnsi="Times New Roman" w:cs="Times New Roman" w:eastAsia="Times New Roman"/>
                <w:i/>
                <w:color w:val="auto"/>
                <w:spacing w:val="0"/>
                <w:position w:val="0"/>
                <w:sz w:val="24"/>
                <w:shd w:fill="auto" w:val="clear"/>
              </w:rPr>
              <w:t xml:space="preserve">функционерима</w:t>
            </w:r>
            <w:r>
              <w:rPr>
                <w:rFonts w:ascii="Times New Roman" w:hAnsi="Times New Roman" w:cs="Times New Roman" w:eastAsia="Times New Roman"/>
                <w:color w:val="auto"/>
                <w:spacing w:val="0"/>
                <w:position w:val="0"/>
                <w:sz w:val="24"/>
                <w:shd w:fill="auto" w:val="clear"/>
              </w:rPr>
              <w:t xml:space="preserve"> у смислу Закона о Агенцији за борбу против корупције) и са запосленима у органима ЈЛС (свих уговора осим уговора о раду – на пример, уговора о делу, уговора о привременим и повременим пословима и слично).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Усвајање акта који ће регулисати ову обавезу;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Сви уговори објављени на интернет презентацији ЈЛС, у складу са одредбама прописа који регулишу заштиту података о личности.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Усвојити закључак, којим би била прописанаобавеза органа ЈЛС и свих јавних служби и јавних предузећа и установа чији је оснивач ЈЛС да објавеуговореса функционерима и запосленима у органима Града</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закључак са предвиђеним садржајем</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Септембар 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Ускладити одлуку са новим Законом о борби против корупције.</w:t>
            </w: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05"/>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2.3. Смањење случајева сукоба интереса запослених у органима ЈЛС</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Успостављени делотворни механизми за управљање сукобом интереса запослених у органима ЈЛС.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окончаних поступака о сукобу интереса у односу на број случајева сумње о постојању сукоба интереса запослених. – Није било пријављених сумњи, нити су вођени поступци ове врсте</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окончаних поступака о сукобу интереса у односу на број случајева сумње о постојању сукоба интереса запослених- сви случајеви сумње испитани и решени у законском року (100%).</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Општим актом регулисати материју сукоба интереса запослених у органима ЈЛС.</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Дефинисана процедура за поступање у случајевима сумње о постојању сукоба интереса;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Дефинисана процедура за пријављивање сумње о сукобу интереса;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Сукоб интереса запослених у интерним актима ЈЛС дефинисан као тежа повреда радне обавезе;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Извршити анализу постојећих закона и кодекса како би се утврдило да ли постоји потреба њиховом допуном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Допуна прописа и кодекса у случају потребе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Извршена анализа потребе за допуном прописа и кодекса у вези са свим индикаторима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Допуњени прописи и/или кодекси, у случају утврђене потребе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Савет за примену етичког кодекса понашања функционера локалне самоуправе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у зависности од тога ко је овлашћен за доношење или измену одлуке на коју указује анализа)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31.12. 2019.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31.3.2020 (</w:t>
            </w:r>
            <w:r>
              <w:rPr>
                <w:rFonts w:ascii="Times New Roman" w:hAnsi="Times New Roman" w:cs="Times New Roman" w:eastAsia="Times New Roman"/>
                <w:i/>
                <w:color w:val="auto"/>
                <w:spacing w:val="0"/>
                <w:position w:val="0"/>
                <w:sz w:val="24"/>
                <w:shd w:fill="auto" w:val="clear"/>
              </w:rPr>
              <w:t xml:space="preserve">за евентуалне допуне одлука или кодекса)</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Упоредити релевантне деловеЕтичког кодекса понашања функционера локалне самоуправе,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Кодекса за запослене,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Закона о спречавању корупције,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Закона о запосленима у органима АП и ЈЛС</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Модел Правилника о управљању сукобом интереса за запослене</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2.3.2</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Формирати тело за примену правила о сукобу интереса запослених у органима ЈЛС.</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Дефинисан састав тела;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Дефинисана процедура за избор чланова тела.</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зависности од резултата анализе из тачке 2.3.1 размотрити потребу за формирањем тела за примену правила о сукобу интереса запослених у органима ЈЛС.</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Размотрена потреба за формирањем посебног телаи предузете мере за формирање у случају утврђене потребе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2.3.3</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капацитет тела за примену правила о сукобу интереса запослених у органима ЈЛС.</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Обезбеђени кадровски и материјални услови за рад тела;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Спроведена обука чланова тела.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зависности од резултата разматрања из тачке 2.3.2, у случају утврђене потребе за формирањем тела, обезбедити кадровске и материјалне услове за његов рад и спровести обуку чланова</w:t>
            </w:r>
            <w:r>
              <w:rPr>
                <w:rFonts w:ascii="Times New Roman" w:hAnsi="Times New Roman" w:cs="Times New Roman" w:eastAsia="Times New Roman"/>
                <w:b/>
                <w:i/>
                <w:color w:val="0070C0"/>
                <w:spacing w:val="0"/>
                <w:position w:val="0"/>
                <w:sz w:val="24"/>
                <w:shd w:fill="auto" w:val="clear"/>
              </w:rPr>
              <w:t xml:space="preserve">.</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случају утврђене потребе за формирањем тела, обезбеђени су кадровски и материјални услови за његов рад и спроведена обука чланова.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потребни су додатни ресурсиу буџету</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2.3.4</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координацију и механизам извештавања о управљању сукобом интереса између тела за примену правила о сукобу интереса запослених у органима ЈЛС и тела за праћење примене ЛАП-а.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Успостављена процедура извештавања о случајевима о којима је одлучивало тело;</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Објављени извештаји о раду тела.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случају успостављања тела, одлуком о формирању предвидети садржину, достављање и објављивање извештаја.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међувремену, увести праксу да  начелник Градске управеједном годишње (до 1. априла за претходну годину) подноси Извештај о примени мера у вези са спречавањем и решавањем сукоба интереса Градском већу</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случају успостављања тела, одлуком о формирању је предвиђено достављање и објављивање извештаја о случајевима у којима је тело решавало</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 редовно подноси извештај Градском већу</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 </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31. 12.2019.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1.4.2020. (</w:t>
            </w:r>
            <w:r>
              <w:rPr>
                <w:rFonts w:ascii="Times New Roman" w:hAnsi="Times New Roman" w:cs="Times New Roman" w:eastAsia="Times New Roman"/>
                <w:i/>
                <w:color w:val="auto"/>
                <w:spacing w:val="0"/>
                <w:position w:val="0"/>
                <w:sz w:val="24"/>
                <w:shd w:fill="auto" w:val="clear"/>
              </w:rPr>
              <w:t xml:space="preserve">и сваке наредне године)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4040"/>
      </w:tblGrid>
      <w:tr>
        <w:trPr>
          <w:trHeight w:val="1" w:hRule="atLeast"/>
          <w:jc w:val="left"/>
        </w:trPr>
        <w:tc>
          <w:tcPr>
            <w:tcW w:w="1404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keepLines w:val="true"/>
              <w:spacing w:before="0" w:after="0" w:line="240"/>
              <w:ind w:right="0" w:left="0" w:firstLine="0"/>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3. Разоткривање корупције кроз заштиту узбуњивача и кроз управљање пријавама и представкама корисника услуга на рад службеника и органа ЈЛС</w:t>
            </w:r>
          </w:p>
        </w:tc>
      </w:tr>
      <w:tr>
        <w:trPr>
          <w:trHeight w:val="1" w:hRule="atLeast"/>
          <w:jc w:val="left"/>
        </w:trPr>
        <w:tc>
          <w:tcPr>
            <w:tcW w:w="1404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Пријавама сумње на корупцију која долази од стране запослених (узбуњивача) и/или корисника услуга органа ЈЛС омогућава се разоткривање и санкционисање случајева корупције до којих је дошло. У исто време, ови механизми имају и превентивну улогу, јер њихово постојање одвраћа потенцијалне актере коруптивних радњи. Због значаја који имају механизми за пријаву сумњи на корупцију или друге неправилности, па и на поступање службеника у случајевима који не морају увек имати везе са корупцијом, ове механизме је важно детаљније разрадити и омогућити њихово функционисање у свакој ЈЛС. Осим тога, заштита свих лица која пријављују сумњу на корупцију посебан је изазов у овој области на који је неопходно посебно додатно обратити пажњу.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Када је реч о пријави сумње на корупцију и заштити лица која пријављују сумњу на корупцију, ова област је регулисана Законом о заштити узбуњивача (Сл. гласник РС, бр. 128/2014), који је почео да се примењује 1. јуна 2015. године. Према чл.16 Закона, сваки послодавац (а тиме и сваки орган јавне власти) који има више од десет запослених има обавезу да општим актом уреди поступак унутрашњег узбуњивања, као и да свој општи акт истакне на видном месту у институцији. Међутим, локалним планом за борбу против корупције потребно је ојачати механизам примене и праћења и Закона и интерног акта и то пре свега кроз обавештавање запослених о правима и обавезама које проистичу из правног оквира, кроз успостављање обавезујућег механизма извештавања о примени акта, као и кроз адекватну обуку лица која су надлежна за пријем пријава сумње на корупцију. На тај начин би свака појединачна ЈЛС својим интерним антикорупцијским планом додатно ојачала ову област, односно исказала своју посвећеност адекватној и суштинској примени постојећих и обавезујућих прописа у области заштите узбуњивача.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Према чл. 71 Закона о локалној самоуправи „органи и службе јединице локалне самоуправе дужни су да свима омогуће подношење притужби на свој рад и на неправилан однос запослених. На поднете притужбе органи и службе јединице локалне самоуправе дужни су да одговоре у року од 30 дана, ако подносилац притужбе захтева одговор. Овим чланом Закона дат је правни оквир који омогућава кориговање рада органа ЈЛС у складу са поднетим притужбама странака у различитим областима, па и оним који се односе на корупцију, сумњу на корупцију или неке друге врсте односа између органа и грађана чији су узрок или исход корупција. Штета од одсуства делотворних жалбених механизама је двострука. Права корисника услуга могу бити повређена и злоупотребљена услед чињенице да не постоји могућност да се жалбом коригује понашање службеника. На институционалном нивоу, ЈЛС губи могућност да системски прати жалбе и да коригује свој рад у складу са реакцијама које добија од грађана. Због тога, увођење ефикасних механизама за жалбене процедуре може бити једно од поља деловања локалног антикорупцијског плана. Осим постојања ефикасних и ефективних механизама за улагање жалби, ЈЛС би требало да се бави и њиховим спровођењем, односно реаговањем, као и анализом њиховог садржаја. За ово је потребно прописати процедуру и одредити одговорне, као и објавити ту процедуру на начин да она буде доступна најширем кругу корисника услуга.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05"/>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3.1. Постигнута пуна примена и праћење прописа у области заштите узбуњивача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Обезбеђени адекватни механизми за примену и праћење примене Закона о заштити узбуњивача.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Нема пријављених случајева узбуњивања кроз обраћање овлашћеном лицу. Постоји Правилник али не уређује сва битна питања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Поступа се у свим случајевима пријаве сумње на корупцију. Правилник је допуњен</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w:t>
            </w:r>
          </w:p>
          <w:p>
            <w:pPr>
              <w:suppressLineNumbers w:val="true"/>
              <w:suppressAutoHyphens w:val="true"/>
              <w:spacing w:before="0" w:after="0" w:line="240"/>
              <w:ind w:right="0" w:left="0" w:firstLine="0"/>
              <w:jc w:val="center"/>
              <w:rPr>
                <w:color w:val="auto"/>
                <w:spacing w:val="0"/>
                <w:position w:val="0"/>
                <w:shd w:fill="auto" w:val="clear"/>
              </w:rPr>
            </w:pP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механизам за праћење примене Закона о заштити узбуњивача.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Успостављена обавеза извештавања о примени интерног акта који се односи на поступак унутрашњег узбуњивања и поступања по пријавама узбуњивача;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Успостављена обавеза објављивања извештаја/делова извештаја о примени интерног акта који се односи на поступак унутрашњег узбуњивања и поступања по пријавама узбуњивача, у складу са прописима који регулишу заштиту података о личности.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Допунити Правилник о унутрашњем узбуњивању, тако да предвиди систем за праћење примене правила о унутрашњем и спољашњем узбуњивању, извештавање о примени тих правила и објављивање извештаја/делова извештаја тако да се не угрози заштита података о личности.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Предвидети да овлашћено лице има заменика.</w:t>
            </w:r>
            <w:r>
              <w:rPr>
                <w:rFonts w:ascii="Times New Roman" w:hAnsi="Times New Roman" w:cs="Times New Roman" w:eastAsia="Times New Roman"/>
                <w:i/>
                <w:color w:val="auto"/>
                <w:spacing w:val="0"/>
                <w:position w:val="0"/>
                <w:sz w:val="24"/>
                <w:shd w:fill="auto" w:val="clear"/>
              </w:rPr>
              <w:t xml:space="preserve">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Правилникдопуњен тако да предвиђа систем за праћење примене правила о унутрашњем и спољашњем узбуњивању, извештавање о примени тих правила и објављивање извештаја/делова извештаја тако да се не угрози заштита података о личности.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је предвиђено да  овлашћено лице има заменика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ГУ</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Октобар 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Актуелни Правилник не садржи одредбе о извештавању, као ни питање спољашљег узбуњивања.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 изради и примени новог акта треба водити рачуна и о ситуацијама када се лице није позвало на Закон о заштити узбуњивача.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3.1.2</w:t>
            </w:r>
          </w:p>
          <w:p>
            <w:pPr>
              <w:suppressLineNumbers w:val="true"/>
              <w:suppressAutoHyphens w:val="true"/>
              <w:spacing w:before="0" w:after="0" w:line="240"/>
              <w:ind w:right="0" w:left="0" w:firstLine="0"/>
              <w:jc w:val="center"/>
              <w:rPr>
                <w:color w:val="auto"/>
                <w:spacing w:val="0"/>
                <w:position w:val="0"/>
                <w:shd w:fill="auto" w:val="clear"/>
              </w:rPr>
            </w:pP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и ојачати капацитете лица задужених за пријем и поступање по пријавама узбуњивача.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Успостављање и јачање капацитета лица задужених за пријем и поступање по пријавама узбуњивача подразумева најмање следеће: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Организовање и/или упућивање лица на адекватне обуке из ове области;</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Организовање обука за запослене из ове области;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Организовање антикорупцијског саветовалишта, кроз које ће лица задужена за пријем и поступање по пријавама узбуњивача на регуларној основи одговарати на питања и дилеме запослених и пружати савете из ове области.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Упућивање овлашћеног лица и других запослених у општинској управи на адекватне обуке из ове области;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Допунити Правилник из тачке 3.1.1. тако да обухвати обавезу овлашћеног лица да пружи савете и одговоре на питања и дилеме запослених из ове области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Извршене обуке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упућивање: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Начелник ГУ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допуну акта: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ГУ</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Континуирано праћење позива и коришћење прилика за обуку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1.10.2019.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Сарадња са НВО и Агенцијом за БПК, као и са донаторским програмима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205"/>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3.2. Успостављена регистрација информација и кориговање организације у ЈЛС у складу са пријавама и представкама које добија из спољашњег окружења.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механизам подношења и поступања по пријавама и представкама странака у вези са радом органа ЈЛС.</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____ </w:t>
            </w:r>
            <w:r>
              <w:rPr>
                <w:rFonts w:ascii="Times New Roman" w:hAnsi="Times New Roman" w:cs="Times New Roman" w:eastAsia="Times New Roman"/>
                <w:i/>
                <w:color w:val="auto"/>
                <w:spacing w:val="0"/>
                <w:position w:val="0"/>
                <w:sz w:val="24"/>
                <w:shd w:fill="auto" w:val="clear"/>
              </w:rPr>
              <w:t xml:space="preserve">број поступања по пријавама и представкама у односу на укупан број примљених представки и пријава.</w:t>
              <w:br/>
              <w:t xml:space="preserve">Не постоји јединствени Регистар примљених представки и пријава </w:t>
            </w:r>
          </w:p>
        </w:tc>
        <w:tc>
          <w:tcPr>
            <w:tcW w:w="432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Успостављен Регистар примљених представки и пријава.</w:t>
              <w:br/>
              <w:t xml:space="preserve">Поступа се по свим примљеним представкама и пријавама у прописаном року.</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w:t>
            </w:r>
          </w:p>
          <w:p>
            <w:pPr>
              <w:suppressLineNumbers w:val="true"/>
              <w:suppressAutoHyphens w:val="true"/>
              <w:spacing w:before="0" w:after="0" w:line="240"/>
              <w:ind w:right="0" w:left="0" w:firstLine="0"/>
              <w:jc w:val="center"/>
              <w:rPr>
                <w:color w:val="auto"/>
                <w:spacing w:val="0"/>
                <w:position w:val="0"/>
                <w:shd w:fill="auto" w:val="clear"/>
              </w:rPr>
            </w:pP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функционалност механизма подношења и поступања по пријавама и представкама странака у вези са радом органа ЈЛС.</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Регулисана процедура за жалбе на рад запослених у ЈЛС;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Процедура за жалбе на рад запослених у ЈЛС објављена на интернет презентацији ЈЛС и у просторијама ЈЛС на месту видљивом странкама;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Успостављена обавеза израде периодичне анализе делотворности поступања органа ЈЛС по поднетим представкама странака;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Периодичне анализе објављене на интернет презентацији ЈЛС;</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Обезбеђена обука за лица која су одређена за поступање по представкама странака.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Усвајање Правилника о поступању по пријавама и представкама грађана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Правилниккоји уређује процедуру за жалбе, објављивање процедуре, обавезу израде периодичне анализе делотворности поступања органа ЈЛС, објављивање тих анализа и обуку лица за поступање по представкама странака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20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Пописати меахнизме за жалбе нарад запослених и органа ЈЛС који тренутно постоје (нпр. формулари на веб презентацији...),као и података о коришћењу тих механизама, пре израде Правилника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950"/>
      </w:tblGrid>
      <w:tr>
        <w:trPr>
          <w:trHeight w:val="1" w:hRule="atLeast"/>
          <w:jc w:val="left"/>
        </w:trPr>
        <w:tc>
          <w:tcPr>
            <w:tcW w:w="1395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keepLines w:val="true"/>
              <w:spacing w:before="0" w:after="0" w:line="240"/>
              <w:ind w:right="0" w:left="0" w:firstLine="0"/>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4: Однос између јединица локалне самоуправе и јавних служби, јавних предузећа и других организација које ЈЛС које ЈЛС оснива и делом или у потпуности финансира и контролише</w:t>
            </w:r>
          </w:p>
        </w:tc>
      </w:tr>
      <w:tr>
        <w:trPr>
          <w:trHeight w:val="1" w:hRule="atLeast"/>
          <w:jc w:val="left"/>
        </w:trPr>
        <w:tc>
          <w:tcPr>
            <w:tcW w:w="1395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Јединице локалне самоуправе оснивају, финансирају и врше надзор над радом установа, служби, организација и јавних предузећа, којима поверавају вршење надлежности од јавног и општег интереса за локално становништво. Број, врста и делокруг рада ових органа се разликује од једне до друге ЈЛС, али је свима заједничко то што се одговорност за њихово (не)функционисање налази на органима ЈЛС који их оснивају и контролишу и који рад претходно наведених органа треба да регулишу и са становишта антикорупцијских механизама.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Односи између ЈЛС и јавних предузећа, служби, организација и установа које она оснива нису једнозначни и једноставни. У појединим случајевима, ови субјекти постају неформално веома моћни и недовољно контролисани од стране ЈЛС. Односи су додатно усложњени чињеницом да се један део ових органа финансира из сопствених средстава, пружа услуге под комерцијалним условима, а не ретко представља и монополисте у пружању одређених услуга, што додатно јача њихову (не)формалну моћ и позицију. Даље, за поједине области од општег интереса постоји подељена надлежност између локалних и републичких институција, у којој један део управљања и контроле врши ЈЛС, а други део републички органи. Веома различити капацитети ЈЛС да се баве пренетим надлежностима у овим областима често резултирају неуједначеном праксом, лошим управљањем и одсуством контроле над овим органима јавне власти, што ствара повољне околности за корупцију, нарочито „политичку корупцију“. Због тога, локални антикорупцијски планови треба да садрже и мере за регулисање односа између ЈЛС и оних органа за чије је функционисање она одговорна.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Овај део Модела ЛАП-а је подељен на два дела – један се односи на управљање јавним предузећима, јер је законодавац постојећим правним оквиром знатно већу пажњу посветио овом типу органа јавне власти; осим тога, пажња јавности са становишта сузбијања корупције је већа у случају јавних предузећа него других органа које ЈЛС оснива, пре свега због њиховог значаја и буџета којима располажу. Други део Модела односи се на ризике од корупције који настају на релацији између ЈЛС и других органа јавне власти, који не припадају јавним предузећима, а који чини широк спектар јавних служби, установа и организација на локалном нивоу. Један део мера који је заједнички за оба типа органа јавне власти (као што је праћење рада и финансијска контрола) биће дат у другом делу који се односи на све органе јавне власти.</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4.1.1., 4.1.2., 4.1.6. и 4.1.9. из Модела ЛАП изостављене су зато што су уређене другим документима и прописима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8"/>
        <w:gridCol w:w="1584"/>
        <w:gridCol w:w="2367"/>
        <w:gridCol w:w="1890"/>
        <w:gridCol w:w="1549"/>
        <w:gridCol w:w="1691"/>
        <w:gridCol w:w="1310"/>
        <w:gridCol w:w="1806"/>
        <w:gridCol w:w="1115"/>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4.1. Отклоњени ризици од корупције у постојећем систему управљања јавним предузећима на локалном нивоу.</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смањују постојећа дискрециона овлашћења, успостављају критеријуме за доношење одлука, јачају систем контроле и повећавају транспареннтост у управљању јавним предузећима на локалном нивоу.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Поједина питања уређена Статутом </w:t>
            </w:r>
          </w:p>
        </w:tc>
        <w:tc>
          <w:tcPr>
            <w:tcW w:w="423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посебан акт који уређују питања од значаја за спровођење Закона о јавним предузећима</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4.1.3</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именовање чланова Комисије за спровођење конкурса за избор директора јавних предузећа.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акт којим се прописују услови и критеријуми за именовање чланова Комисије за спровођење конкурса за избор директора јавних предузећа</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акт којим се прописују услови и критеријуми за именовање чланова Комисије, елиминисање сукоба интереса и јавност у раду комисије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акткоји садржи све потребне елементе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30.11.2019.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4.1.4</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елементе управљања сукобом интереса чланова Комисије за спровођење конкурса за избор директора јавних предузећа.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Елементи управљања сукобом интереса подразумевају најмање следеће: потписивање изјаве о непостојању приватног интереса у вези са учесницима конкурса, успоставање института изузећа у случају постојања приватног интереса, прописивања одговорност за члана комисије за ког се утврди да је био у сукобу интереса и института поништавања одлука за које се утврди да су донете у околностима постојања сукоба интереса.</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акт којим се прописују услови и критеријуми за именовање чланова Комисије, елиминисање сукоба интереса и јавност у раду комисије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који између осталог, садржи обавезу потписивања изјаве о непостојању приватног интереса у вези са учесницима конкурса, изузеће у случају постојања приватног интереса, одговорност за члана комисије заког се утврди да је био у сукобу интереса и поништавање одлука за које се утврди да су донете у сукобу интереса.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30.11.2019.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4.1.5</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јавност рада Комисије за спровођење конкурса за избор директора јавних предузећа.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 интернет презентацији ЈЛС објавити сва документа о раду Комисије за спровођење конкурса за избор директора (записници, одлуке, остало).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акт којим се прописују услови и критеријуми за именовање чланова комисије, елиминисање сукоба интереса и јавност у раду комисије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Октобар-новембар 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4.1.7</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именовање вршиоца дужности директора.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прописују услови и критеријуми за именовање вршиоца дужности директора.</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Извршити анализу могућности прописивања критеријума за именовање вршиоца дужности директора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Извршена анализа могућности прописивања критеријума за именовање вршиоца дужности директора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Комисија за именовање директора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30.11. 2019.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4.1.8</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поступак и рок за разматрање, односно давање сагласности на програм пословања јавног предузећа.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Прописују поступак и рок за разматрање, односно давање сагласности на програм пословања јавног предузећа;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Прописује критеријума за доношење годишњег програма пословања за период на који се односи привремено финансирање;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одређује поступак и рокови за разматрање, односно давање сагласности на програм пословања;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Уводе ограничења за трошкове помоћи, спортских активности, пропаганде и репрезентације;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Дефинишу </w:t>
            </w:r>
            <w:r>
              <w:rPr>
                <w:rFonts w:ascii="Times New Roman" w:hAnsi="Times New Roman" w:cs="Times New Roman" w:eastAsia="Times New Roman"/>
                <w:i/>
                <w:color w:val="auto"/>
                <w:spacing w:val="0"/>
                <w:position w:val="0"/>
                <w:sz w:val="24"/>
                <w:shd w:fill="auto" w:val="clear"/>
              </w:rPr>
              <w:t xml:space="preserve">стратешки интереси и битне промене околности</w:t>
            </w:r>
            <w:r>
              <w:rPr>
                <w:rFonts w:ascii="Times New Roman" w:hAnsi="Times New Roman" w:cs="Times New Roman" w:eastAsia="Times New Roman"/>
                <w:color w:val="auto"/>
                <w:spacing w:val="0"/>
                <w:position w:val="0"/>
                <w:sz w:val="24"/>
                <w:shd w:fill="auto" w:val="clear"/>
              </w:rPr>
              <w:t xml:space="preserve"> за измену програма пословања које су карактеристичне за конкретну локалну заједницу;</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Предвиђају санкцију уколико органи ЈП не доставе програм пословања  скупштини ЈЛС у законски прописаном року.</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Анализом утврдити да ли је потребно допунити Одлуку о организацији Градске управе 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Пословник о раду Градског већа.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 потреби, допунити Пословник о раду Градског већа, тако да буде обавезно да се сагласност даје или ускраћује најдуже у року од 30 дана.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Усвајање програма са мишљењем Градског већа.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Допуна постојећих одлука о усвајању програма рада градских јавних предузећа обавезом објављивања на сајту ЈП-а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Извршена анализа и на основу ње су  допуњени акти у случају потребе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Допуњене постојеје одлуке и објављени програми рада градских предузећа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 Градска управа, 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4.1.10</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критеријуме и поступак за давање сагласности јавним предузећима за оснивање друштва капитала и улагање капитала у већ основана друштва, као и механизам одговорности у случајевима у којима руководиоци јавних предузећа избегну примену прописаних правила.</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акт којим ће се: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обавеза дефинисања оправданости и сврсисходности решења којим се оставља могућност да јавно предузеће оснује друштво капитала или да уложи капитал у већ основано друштво капитала;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Прописати услови и критеријуми за доношење одлуке о оснивању друштва капитала, односно о улагању капитала;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Уредити поступак давања сагласности оснивача на оснивање друштва капитала;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Дефинисати одговорност и санкције за руководиоце јавних предузећа који избегну примену прописаних правила о оснивању друштва капитала, односно о улагању капитала.</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Изменама Статута предвидети обавезу да ЈП достави студију оправданости ради разматрања давања сагласности од стране Скупштине Града</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Уводи се обавеза достављања студије од стране ЈП до промене Статута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Примена Републичких прописа</w:t>
            </w:r>
          </w:p>
        </w:tc>
      </w:tr>
      <w:tr>
        <w:trPr>
          <w:trHeight w:val="422" w:hRule="auto"/>
          <w:jc w:val="left"/>
        </w:trPr>
        <w:tc>
          <w:tcPr>
            <w:tcW w:w="638"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4.1.11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одлучивање о оснивању више јавних предузећа за обављање исте делатности на подручју града и града Београда (</w:t>
            </w:r>
            <w:r>
              <w:rPr>
                <w:rFonts w:ascii="Times New Roman" w:hAnsi="Times New Roman" w:cs="Times New Roman" w:eastAsia="Times New Roman"/>
                <w:i/>
                <w:color w:val="auto"/>
                <w:spacing w:val="0"/>
                <w:position w:val="0"/>
                <w:sz w:val="24"/>
                <w:shd w:fill="auto" w:val="clear"/>
              </w:rPr>
              <w:t xml:space="preserve">Напомена: мера се односи само на оне ЈЛС које имају статус Града и на Град Београд, јер је ова могућност према Закону о јавним предузећим  остављена само ЈЛС које имају тај статус)</w:t>
            </w:r>
            <w:r>
              <w:rPr>
                <w:rFonts w:ascii="Times New Roman" w:hAnsi="Times New Roman" w:cs="Times New Roman" w:eastAsia="Times New Roman"/>
                <w:color w:val="auto"/>
                <w:spacing w:val="0"/>
                <w:position w:val="0"/>
                <w:sz w:val="24"/>
                <w:shd w:fill="auto" w:val="clear"/>
              </w:rPr>
              <w:t xml:space="preserve">.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акт којим ће се: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дефинисања оправданости и сврсисходности решења којим се оставља могућност оснивања више јавних предузећа за обављање исте делатности на подручју града и града Београда;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доношење одлуке о оснивању више јавних предузећа за обављање исте делатности на подручју града и града Београда. </w:t>
            </w:r>
          </w:p>
        </w:tc>
        <w:tc>
          <w:tcPr>
            <w:tcW w:w="189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Одлука о оснивању ЈП „Управа Бање“ Врањска Бања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4"/>
        <w:gridCol w:w="2367"/>
        <w:gridCol w:w="1891"/>
        <w:gridCol w:w="1549"/>
        <w:gridCol w:w="1691"/>
        <w:gridCol w:w="1310"/>
        <w:gridCol w:w="1806"/>
        <w:gridCol w:w="1115"/>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 4.2. Обезбеђена начела </w:t>
            </w:r>
            <w:r>
              <w:rPr>
                <w:rFonts w:ascii="Times New Roman" w:hAnsi="Times New Roman" w:cs="Times New Roman" w:eastAsia="Times New Roman"/>
                <w:b/>
                <w:i/>
                <w:color w:val="auto"/>
                <w:spacing w:val="0"/>
                <w:position w:val="0"/>
                <w:sz w:val="24"/>
                <w:shd w:fill="auto" w:val="clear"/>
              </w:rPr>
              <w:t xml:space="preserve">доброг управљања </w:t>
            </w:r>
            <w:r>
              <w:rPr>
                <w:rFonts w:ascii="Times New Roman" w:hAnsi="Times New Roman" w:cs="Times New Roman" w:eastAsia="Times New Roman"/>
                <w:b/>
                <w:color w:val="auto"/>
                <w:spacing w:val="0"/>
                <w:position w:val="0"/>
                <w:sz w:val="24"/>
                <w:shd w:fill="auto" w:val="clear"/>
              </w:rPr>
              <w:t xml:space="preserve">у односу између ЈЛС и других органа јавне власти (установа, служби, органа и организација) које оснива ЈЛС</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4.2.2., 4.2.3., 4.2.5. из Модела ЛАП изостављене су зато што су уређене другим документима и прописима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9"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обезбеђују транспарентност и одговорност у раду, избору руководилаца, праћењу рада и учинака и финансијску контролу свих јавних служби, јавних предузећа и других организацијакоје ЈЛС оснива.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Постоје акти, али није утврђено у којој мери обезбеђују транспарентност и одговорност код јавних предузећа, јавних служби и других организација које оснива Град</w:t>
            </w:r>
          </w:p>
        </w:tc>
        <w:tc>
          <w:tcPr>
            <w:tcW w:w="4231"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Утврђена потреба за допуном аката, донети закључци и измењени акти тако да обезбеђују транспарентност и одговорност код јавних предузећа, јавних служби и других организација које оснива Град</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4.2.1</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Обезбедити потпуну доступност информација о </w:t>
            </w:r>
            <w:r>
              <w:rPr>
                <w:rFonts w:ascii="Times New Roman" w:hAnsi="Times New Roman" w:cs="Times New Roman" w:eastAsia="Times New Roman"/>
                <w:b/>
                <w:color w:val="auto"/>
                <w:spacing w:val="0"/>
                <w:position w:val="0"/>
                <w:sz w:val="24"/>
                <w:shd w:fill="auto" w:val="clear"/>
              </w:rPr>
              <w:t xml:space="preserve">свим</w:t>
            </w:r>
            <w:r>
              <w:rPr>
                <w:rFonts w:ascii="Times New Roman" w:hAnsi="Times New Roman" w:cs="Times New Roman" w:eastAsia="Times New Roman"/>
                <w:color w:val="auto"/>
                <w:spacing w:val="0"/>
                <w:position w:val="0"/>
                <w:sz w:val="24"/>
                <w:shd w:fill="auto" w:val="clear"/>
              </w:rPr>
              <w:t xml:space="preserve"> органима јавне власти које ЈЛС оснива и делом или у потпуности финансира или контролише. </w:t>
            </w:r>
          </w:p>
          <w:p>
            <w:pPr>
              <w:suppressLineNumbers w:val="true"/>
              <w:suppressAutoHyphens w:val="true"/>
              <w:spacing w:before="0" w:after="0" w:line="240"/>
              <w:ind w:right="0" w:left="0" w:firstLine="0"/>
              <w:jc w:val="left"/>
              <w:rPr>
                <w:color w:val="auto"/>
                <w:spacing w:val="0"/>
                <w:position w:val="0"/>
                <w:shd w:fill="auto" w:val="clear"/>
              </w:rPr>
            </w:pP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интернет презентацији ЈЛС објављен регистар свих јавних служби, јавних предузећа и других организација које ЈЛС оснива и делом или у потпуности финансира или контролише, а која садржи информације о оснивању, финансирању, утрошку средстава, органима управљања, резултатима пословања и пословним плановима;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Успостављена обавеза редовног ажурирања регистра. </w:t>
            </w:r>
          </w:p>
        </w:tc>
        <w:tc>
          <w:tcPr>
            <w:tcW w:w="18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Проверасвихакатаоргана локалне самоуправе ради утврђивања за које документе још увек није предвиђена обавеза објављивања и покретање поступка измене и допуне тих аката.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Донети Закључак Градског већа о испуњености јавности о раду ЈП-а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Проверени акти и усвојен Закључак</w:t>
            </w:r>
          </w:p>
          <w:p>
            <w:pPr>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и 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Активност је у  току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4.2.4</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механизме одговорности руководилаца и чланова управљачких и надзорних тела свих јавних служби, јавних предузећа и других организација које оснива ЈЛС.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Усвојена јединствена и обавезујућа методологија извештавања о раду за сва јавна предузећа, установе, органе и организације које оснива ЈЛС;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Успостављена пракса редовног јавног представљања и расправљања о резултатима рада и учинцима јавних предузећа, установа, органа и организација које оснива ЈЛС;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Успостављена пракса објављивања закључака са јавних расправа. </w:t>
            </w:r>
          </w:p>
        </w:tc>
        <w:tc>
          <w:tcPr>
            <w:tcW w:w="18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Актима из тачке 4.2.1. уредити и питања извештавања о раду и разматрања извештаја о раду јавних предузећа, установа, органа и организација које оснива Град Врање, тамо где већ не постоје законске обавезе.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Уређено извештавање о раду и разматрање извештаја о раду свих јавних предузећа, установа и других организација које оснива Град Врање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и Градско веће и 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4.2.6</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Увести обавезу објављивања докумената који се односе на управљање финансијама свих јавних служби, јавних предузећа и других организација које оснива ЈЛС.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регулише објављивање свих докумената који се односе на управљање финансијама јавних предузећа, установа, органа и организација које оснива ЈЛС; </w:t>
            </w:r>
          </w:p>
        </w:tc>
        <w:tc>
          <w:tcPr>
            <w:tcW w:w="18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Актима из тачке 4.2.1. прописати објављивање докумената који се односе на управљање финансијама јавних предузећа, установа, органа и организација које оснива ЈЛС, у случајевима када не постоји законска обавеза</w:t>
            </w:r>
            <w:r>
              <w:rPr>
                <w:rFonts w:ascii="Times New Roman" w:hAnsi="Times New Roman" w:cs="Times New Roman" w:eastAsia="Times New Roman"/>
                <w:color w:val="auto"/>
                <w:spacing w:val="0"/>
                <w:position w:val="0"/>
                <w:sz w:val="24"/>
                <w:shd w:fill="auto" w:val="clear"/>
              </w:rPr>
              <w:t xml:space="preserve">.</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Прописана обавеза објављивања докумената који се односе на управљање финансијама јавних предузећа, установа, органа и организација које оснива ЈЛС</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и 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4.2.7</w:t>
            </w:r>
          </w:p>
        </w:tc>
        <w:tc>
          <w:tcPr>
            <w:tcW w:w="1584"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механизам грађанске контроле над управљањем финансијама органа јавне власти које оснива ЈЛС. </w:t>
            </w:r>
          </w:p>
        </w:tc>
        <w:tc>
          <w:tcPr>
            <w:tcW w:w="236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Установљена пракса израде и објављивања „грађанског буџета“, односно документа који на разумљив начин објашњава планирање, извршење и контролу над извршењем буџета свих јавних служби, јавних предузећа и других организација које оснива ЈЛС. </w:t>
            </w:r>
          </w:p>
        </w:tc>
        <w:tc>
          <w:tcPr>
            <w:tcW w:w="18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 узору на грађанске буџете сачинити документе који ће на разумљив начин да прикажупланирање, извршење и контролу над извршењем буџета односно програма пословања са финансијским планом свих јавних служби, јавних предузећа и других организација које оснива ЈЛС</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 узору на грађанске буџете сачинињена документа која на разумљив начин приказују планирање, извршење и контролу над извршењем буџета односно програма пословања са финансијским планом свих јавних служби, јавних предузећа и других организација које оснива ЈЛС</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Јавна предузећа, установе и друге организације чији је оснивач град</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 31.1.2020 једном годишње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115"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tbl>
      <w:tblPr>
        <w:tblInd w:w="55" w:type="dxa"/>
      </w:tblPr>
      <w:tblGrid>
        <w:gridCol w:w="13950"/>
      </w:tblGrid>
      <w:tr>
        <w:trPr>
          <w:trHeight w:val="1" w:hRule="atLeast"/>
          <w:jc w:val="left"/>
        </w:trPr>
        <w:tc>
          <w:tcPr>
            <w:tcW w:w="1395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Област 5: Јавно-приватна партнерства и концесије</w:t>
            </w:r>
          </w:p>
        </w:tc>
      </w:tr>
      <w:tr>
        <w:trPr>
          <w:trHeight w:val="1" w:hRule="atLeast"/>
          <w:jc w:val="left"/>
        </w:trPr>
        <w:tc>
          <w:tcPr>
            <w:tcW w:w="1395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Опис области: </w:t>
            </w:r>
            <w:r>
              <w:rPr>
                <w:rFonts w:ascii="Times New Roman" w:hAnsi="Times New Roman" w:cs="Times New Roman" w:eastAsia="Times New Roman"/>
                <w:color w:val="auto"/>
                <w:spacing w:val="0"/>
                <w:position w:val="0"/>
                <w:sz w:val="20"/>
                <w:shd w:fill="auto" w:val="clear"/>
              </w:rPr>
              <w:t xml:space="preserve">Јавно-приватно партнерство (ЈПП) представља дугорочну сарадњу између јавног и приватног сектора, односно партнера из јавног и приватног сектора, ради обезбеђења финансирања, изградње, реконструкције, управљања или одржавања инфраструктурних и других објеката од јавног значаја и пружања услуга од јавног значаја. Јавно-приватна партнерства се углавном успостављају у реализацији пројеката или ради пружања услуга које традиционално обезбеђује јавни сектор, али који из различитих разлога, потреба и оправданости у реализацију тих пројеката укључују приватни сектор. При том би подела улагања, ризика, одговорности и добити међу партнерима требало да буде адекватна. Концесија, пак, представља врсту ЈПП, односно врсту уговорне сарадње између јавног и приватног партнера, којом је уређено комерцијално коришћење природног богатства, односно добра у општој употреби која су у јавној својини или обављање делатности од општег интереса. Концесијом надлежно јавно тело уступа домаћем или страном субјекту природна богатства или добра у јавној својини на одређено време, под посебно прописаним условима, уз плаћање концесионе накнаде, при чему приватни партнер сам сноси ризик везан за комерцијално коришћење предмета концесије. Услед сличности између карактера ова два концепта, као и сличности са становишта ризика од корупције, ЈПП и концесије се уобичајено третирају истоврсно, што ће и у овом документу бити случај.</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Имајући у виду ризике да сарадња представника јавног и приватног сектора буду несврсисходни и да имају за циљ остваривање појединачних или приватних интереса на штету јавног интереса, нужно је посветити посебну пажњу ризицима корупције у овој области. Значај овог питања препознат је и приликом доношења Националне стратегије за борбу против корупције у Републици Србији за период од 2013. до 2018. године и Акционог плана за њено спровођење.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Актуелни Закон о јавно-приватном партнерству и концесијама (“Службени гласник РС”, бр. 88/11, 15/16 и 104/16) усвојен је 2011 године. Њиме се уређују услови и начин израде, предлагања и одобравања пројеката ЈПП; одређују субјекти надлежни, односно овлашћени за предлагање и реализацију ових пројеката; права и обавезе јавних и приватних партнера; облик и садржина уговора о ЈПП са или без елемената концесије и правна заштита у поступцима доделе јавних уговора; услови и начин давања концесије, предмет концесије, субјекти надлежни, односно овлашћени за поступак давања концесије, престанак концесије; заштита права учесника у поступцима доделе јавних уговора; оснивање, положај и надлежност Комисије за ЈПП, као и друга питања од значаја за ово партнерство, са или без елемената концесије, односно за концесију.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Имајући у виду чињеницу да ЈЛС као </w:t>
            </w:r>
            <w:r>
              <w:rPr>
                <w:rFonts w:ascii="Times New Roman" w:hAnsi="Times New Roman" w:cs="Times New Roman" w:eastAsia="Times New Roman"/>
                <w:i/>
                <w:color w:val="auto"/>
                <w:spacing w:val="0"/>
                <w:position w:val="0"/>
                <w:sz w:val="24"/>
                <w:shd w:fill="auto" w:val="clear"/>
              </w:rPr>
              <w:t xml:space="preserve">јавна тела</w:t>
            </w:r>
            <w:r>
              <w:rPr>
                <w:rFonts w:ascii="Times New Roman" w:hAnsi="Times New Roman" w:cs="Times New Roman" w:eastAsia="Times New Roman"/>
                <w:color w:val="auto"/>
                <w:spacing w:val="0"/>
                <w:position w:val="0"/>
                <w:sz w:val="24"/>
                <w:shd w:fill="auto" w:val="clear"/>
              </w:rPr>
              <w:t xml:space="preserve"> могу бити партнери у ЈПП, као и да се највећи број до сада поднетих предлога или остварених ЈПП спроводи на локалном нивоу, неопходно је успоставити адекватне интерне и институционалне механизме којима би се на локалном нивоу отклонили ризици у примени нормативног оквира у овој области. Закон и подзаконска акта предвиђају различите системе контроле, као и значајну улогу Комисије за ЈПП – без обзира на то, сваки јавни партнер, односно ЈЛС у овом случају, има значајна овлашћења у иницирању, процени и одобравању пројеката, као и у процесу контроле уговора за ЈПП, па је кроз ЛАП потребно увести одређене мере за отклањање ризика у овој области.</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119"/>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5.1: Успостављени интерни механизми којима се отклањају ризици од корупције у примени прописа у области јавно приватних партнерстава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обезбеђују отклањање ризика од корупције у примени прописа у области јавно приватних партнерстава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постоје посебне јавне политике које би уређивале ову материју на нивоу Града, примењују се републички прописи</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Утврђена потреба за доношењем локалних прописа, по сваком од посматраних питања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Дефинисати локално специфичне области које могу бити предмет концесије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дефинишу локално специфичне области које могу бити предмет концесије, а у складу са природним ресурсима и другим јавним добрима који постоје на територији ЈЛС, као и у складу са потребама локалног становништва.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Формирати радно тело којеће извршити анализу и спровођење анализе потребе за усвајањем посебног акта.</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Формирано радно тело</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Завршена анализакоја утврђује да ли постоји потреба за одређивањем локално специфичних области које могу бити предмет концесије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Успоставити процедуру и критеријуме за давање сагласности на предлог пројекта ЈПП без елемената концесије, за усвајање предлога за доношење концесионог акта који припреми надлежно јавно тело и за давање сагласности на коначни нацрт јавног уговора.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3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w:t>
            </w:r>
          </w:p>
          <w:p>
            <w:pPr>
              <w:suppressLineNumbers w:val="true"/>
              <w:suppressAutoHyphens w:val="true"/>
              <w:spacing w:before="0" w:after="0" w:line="240"/>
              <w:ind w:right="0" w:left="3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 обавеза израде студије оправданости и/или изводљивости успостављања ЈПП;</w:t>
            </w:r>
          </w:p>
          <w:p>
            <w:pPr>
              <w:suppressLineNumbers w:val="true"/>
              <w:suppressAutoHyphens w:val="true"/>
              <w:spacing w:before="0" w:after="0" w:line="240"/>
              <w:ind w:right="0" w:left="3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 процедура и дефинишу критеријуми за давање сагласности на предлог пројекта ЈПП без елемената концесије; </w:t>
            </w:r>
          </w:p>
          <w:p>
            <w:pPr>
              <w:suppressLineNumbers w:val="true"/>
              <w:suppressAutoHyphens w:val="true"/>
              <w:spacing w:before="0" w:after="0" w:line="240"/>
              <w:ind w:right="0" w:left="3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 процедура за усвајање предлога за доношење концесионог акта који припреми надлежно јавно тело;</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Успоставља процедура за давање сагласност на коначни нацрт јавног уговора.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Формирање радне групе за анализу потребе усвајања посебног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35"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Анализа потребе усвајањаинтерног акта који би успоставио обавезуизраде студије оправданости и/или изводљивости успостављања ЈПП, процедуре икритеријума за давање сагласности на предлог пројекта ЈПП без елемената концесије; </w:t>
            </w:r>
          </w:p>
          <w:p>
            <w:pPr>
              <w:suppressLineNumbers w:val="true"/>
              <w:suppressAutoHyphens w:val="true"/>
              <w:spacing w:before="0" w:after="0" w:line="240"/>
              <w:ind w:right="0" w:left="35"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процедуре за усвајање предлога за доношење концесионог акта који припреми надлежно јавно тело и процедуре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давање сагласност на коначни нацртјавног уговора.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35"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Завршена анализа и утврђено да ли постоји потреба усвајања интерног акта који би успоставио обавезу израде студије оправданости и/или изводљивости успостављања ЈПП, процедуре икритеријума за давање сагласности на предлог пројекта ЈПП без елемената концесије; </w:t>
            </w:r>
          </w:p>
          <w:p>
            <w:pPr>
              <w:suppressLineNumbers w:val="true"/>
              <w:suppressAutoHyphens w:val="true"/>
              <w:spacing w:before="0" w:after="0" w:line="240"/>
              <w:ind w:right="0" w:left="35"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процедуре за усвајање предлога за доношење концесионог акта који припреминадлежно јавно тело и процедуре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давање сагласност на коначни нацрт јавног уговора.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Дефинисати шта су </w:t>
            </w:r>
            <w:r>
              <w:rPr>
                <w:rFonts w:ascii="Times New Roman" w:hAnsi="Times New Roman" w:cs="Times New Roman" w:eastAsia="Times New Roman"/>
                <w:i/>
                <w:color w:val="auto"/>
                <w:spacing w:val="0"/>
                <w:position w:val="0"/>
                <w:sz w:val="20"/>
                <w:shd w:fill="auto" w:val="clear"/>
              </w:rPr>
              <w:t xml:space="preserve">објективни разлози </w:t>
            </w:r>
            <w:r>
              <w:rPr>
                <w:rFonts w:ascii="Times New Roman" w:hAnsi="Times New Roman" w:cs="Times New Roman" w:eastAsia="Times New Roman"/>
                <w:color w:val="auto"/>
                <w:spacing w:val="0"/>
                <w:position w:val="0"/>
                <w:sz w:val="20"/>
                <w:shd w:fill="auto" w:val="clear"/>
              </w:rPr>
              <w:t xml:space="preserve">за ограничавање одговорности чланова конзорцијума који се појављује као приватни партнер у ЈПП.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дефинише шта су </w:t>
            </w:r>
            <w:r>
              <w:rPr>
                <w:rFonts w:ascii="Times New Roman" w:hAnsi="Times New Roman" w:cs="Times New Roman" w:eastAsia="Times New Roman"/>
                <w:i/>
                <w:color w:val="auto"/>
                <w:spacing w:val="0"/>
                <w:position w:val="0"/>
                <w:sz w:val="24"/>
                <w:shd w:fill="auto" w:val="clear"/>
              </w:rPr>
              <w:t xml:space="preserve">објективни разлози </w:t>
            </w:r>
            <w:r>
              <w:rPr>
                <w:rFonts w:ascii="Times New Roman" w:hAnsi="Times New Roman" w:cs="Times New Roman" w:eastAsia="Times New Roman"/>
                <w:color w:val="auto"/>
                <w:spacing w:val="0"/>
                <w:position w:val="0"/>
                <w:sz w:val="24"/>
                <w:shd w:fill="auto" w:val="clear"/>
              </w:rPr>
              <w:t xml:space="preserve">за ограничавање одговорности чланова конзорцијума који се појављује као приватни партнер у ЈПП.</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Формирати радну групу и спровести анализу (радна група из тачке 5.1.1.)</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Анализом је утврђено да ли је потребно дефинисати „објективне разлоге за ограничавање одговорности чланова конзорцијума који се појављује као приватни партнер</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Пратити евентуалне измене Закона о ЈПП (погледати члан 16. Закона о ЈПП)</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Успоставити обавезу додатног образложења за избор конкретног рока на који се закључује јавни уговор.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уводи обавеза додатног образложења за избор конкретног рока на који се закључује јавни уговор.</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анализу потребе усвајања акта (радна група која спроводи анализу из тачке 5.1.1.)</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Спроведенаанализа и утврђена потреба за усвајањем интеног акта који би увео обавезу додатног образложења за избор конкретног рока на који се закључује уговор. </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5.1.5</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ЈЛС да врши процену утицаја ЈПП на начело конкурентности.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прописује: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Начин на који ће ЈЛС процењивати да ли се учешћем предлагача у припреми предлога пројекта нарушава конкуренција;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Дефинисање корака који су потребни да се евентуална конкурентска предност неутралише;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Начин доношења закључка да се конкурентска предност не може неутралисати;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Начин на који се обезбеђују капацитети ЈЛС за овакве процене.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анализу потребе усвајања акта (радна група из тачке 5.1.1.)</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Завршена анализа и утврђено да ли постоји потреба за доношењем акта који би прописао начин на који ће ЈЛС процењивати да ли се учешћем предлагача у припреми предлога пројекта нарушава конкуренција, кораке који су потребни да се та предност неутралише или доношење закључка да се не може неутралисати</w:t>
            </w:r>
            <w:r>
              <w:rPr>
                <w:rFonts w:ascii="Times New Roman" w:hAnsi="Times New Roman" w:cs="Times New Roman" w:eastAsia="Times New Roman"/>
                <w:color w:val="auto"/>
                <w:spacing w:val="0"/>
                <w:position w:val="0"/>
                <w:sz w:val="24"/>
                <w:shd w:fill="auto" w:val="clear"/>
              </w:rPr>
              <w:t xml:space="preserve">.</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5.1.6</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Дефинисати услове и критеријуме у погледу именовања лица која чине стручни тим који израђује конкурсну документацију, врши процену вредности концесије, израђује студију оправданости давања концесије и предузима све остале радње које претходе поступку давања концесије.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прописују услови и критеријуми у погледу именовања лица која чине стручни тим који израђује конкурсну документацију, врши процену вредности концесије, израђује студију оправданости давања концесије и предузима све остале радње које претходе поступку давања концесије.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Извршити анализу потребе за усвајањем акта који би прописао услове и критеријуме </w:t>
            </w:r>
            <w:r>
              <w:rPr>
                <w:rFonts w:ascii="Times New Roman" w:hAnsi="Times New Roman" w:cs="Times New Roman" w:eastAsia="Times New Roman"/>
                <w:color w:val="auto"/>
                <w:spacing w:val="0"/>
                <w:position w:val="0"/>
                <w:sz w:val="24"/>
                <w:shd w:fill="auto" w:val="clear"/>
              </w:rPr>
              <w:t xml:space="preserve">у </w:t>
            </w:r>
            <w:r>
              <w:rPr>
                <w:rFonts w:ascii="Times New Roman" w:hAnsi="Times New Roman" w:cs="Times New Roman" w:eastAsia="Times New Roman"/>
                <w:i/>
                <w:color w:val="auto"/>
                <w:spacing w:val="0"/>
                <w:position w:val="0"/>
                <w:sz w:val="24"/>
                <w:shd w:fill="auto" w:val="clear"/>
              </w:rPr>
              <w:t xml:space="preserve">за именовањечланова стручног тима који израђује конкурсну документацију, врши процену вредности концесије, израђује студију оправданости давања концесије и предузима све остале радње које претходе поступку давања концесије.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Завршена анализа и утврђено да ли постоји потреба за доношењем посебног акта</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36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Пратити евентуалне измена Закона о ЈПП (погледати члан 30. Закона о ЈПП)</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5.1.7</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елементе управљања сукобом интереса лица која чине стручни тим описан у претходној мери.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Елементи управљања сукобом интереса подразумевају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Потписивање изјаве о непостојању приватног интереса у вези са партнером;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одговорности за члана стручног тима за кога се утврди да је био у сукобу интереса;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Анализом из тачке 5.1.6. утврдити потребу за доношењем посебног акта, имајући у виду и потребу за управљањем сукобом интереса чланова стручног тима.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36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Спроведена анализа и утврђено да ли постоји потреба да се посебним актом уреди и питање управљања сукобом интереса чланова стручног тима.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Дати приоритет чланству у Стручном тиму запосленим у локалном јавном сектору</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5.1.8</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Прописати интерну организациону процедуру спровођења надзора над реализацијом јавних уговора.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којим се прописује интерна организациона процедура спровођења надзора над реализацијом јавних уговора.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анализу потребе усвајањем акта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Завршена анализа и утврђено да ли постоји потреба за доношењем интерне организационе процедуре спровођења надзора над реализацијом јавних уговора.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 формирање радне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за израду анализе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31.12.2021.</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950"/>
      </w:tblGrid>
      <w:tr>
        <w:trPr>
          <w:trHeight w:val="1" w:hRule="atLeast"/>
          <w:jc w:val="left"/>
        </w:trPr>
        <w:tc>
          <w:tcPr>
            <w:tcW w:w="1395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335"/>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6: Управљање јавном својином ЈЛС</w:t>
            </w:r>
          </w:p>
        </w:tc>
      </w:tr>
      <w:tr>
        <w:trPr>
          <w:trHeight w:val="1" w:hRule="atLeast"/>
          <w:jc w:val="left"/>
        </w:trPr>
        <w:tc>
          <w:tcPr>
            <w:tcW w:w="1395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Према Закону о јавној својини (“Службени гласник РС”, бр. 72/11, 88/13, 105/2014, 104/2016, 108/2016, 113/2017 и 95/2018), ЈЛС је један од титулара јавне својине у Републици Србији. Овом нивоу власти је дата могућност стицања, коришћења, управљања, преноса и надзора над јавном својином, што представља сложену и одговорну надлежност, чије вршење садржи различите ризике од корупције. Уколико процес управљања јавном својином није добро регулисан, то може створити услове да се јавна својина користи за остваривање приватних интереса оних који њом управљају, директно или индиректно. Ризик за овакве догађаје је утолико већи уколико својински односи између различитих нивоа власти још увек нису у потпуности регулисани, јер је поменутим законом градовима и општинама тек од 2011. године омогућено располагање сопственом имовином.</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Суштину ефикасне регулације управљања јавном својином чине два сегмента: први се односи на непостојање аката који регулишу процес утврђивања јавне својине, усклађивања фактичког са књиговодственим стањем својине, као и аката којима се врше процеси стицања, отуђивања, располагања и контроле над јавном својином која је дата на располагање другим лицима. Иако поменути закон до одређеног нивоа регулише ове обавезе, њиме је значајан део регулације процеса остављен у надлежност ЈЛС. Отуда се оправдано поставља питање да ли су све ЈЛС регулисале ове процесе и да ли су их регулисале адекватно и квалитетно.</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Други сегмент у области управљања јавном својином односи се на транспарентност њеног располагања. Успостављање локалних регистара јавне својине представља један корак у овој области, док је омогућавање увида јавности у регистре подједнако важан процес. Регистар непокретности у јавној својини успостављен је кроз апликативни софтвер Републичке дирекције за имовину, а у који су и ЈЛС дужне да уносе податке о непокретностима као титулари непокретности у јавној својини. Законом, међутим, није прописано да је овај централни регистар јаван. С друге стране, ЈЛС могу имати свој регистар поред овог прописаног ЗЈС. То што Закон не спречава ЈЛС да формирају своје регистре (а већина их и иначе има, односно формира их за своје потребе), омогућава да се ојача транспарентност управљања јавном својином на локалном нивоу. Не постоји ниједан оправдан разлог да информације о јавној својини не буду јавне, уз сва постојећа ограничења која су већ прописана нормативом која регулише поступање са личним подацима. ЈЛС могу предвидети објављивање регистара јавне својине, регистара јавне својине дате на располагање другим лицима, регистара корисника имовине дате у закуп/коришћење, регистара оних којима је због злоупотреба одузето право закупа/коришћења и тако даље. Потребно је предвидети начине креирања и садржај ових база података, процедуру и одговорност њиховог ажурирања и заштите података које садрже. Такође је потребно уредити објављивање података из регистара на адекватне начине, услове и процедуру давања јавне својине ЈЛС на коришћење другим лицима, као и контролу процеса која мора обухватити контролу начина управљања и контролу (не)наплаћених потраживања у смислу дуговања за закуп.</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Према Закону о локалној самоуправи, ЈЛС су надлежне дауправљају сопственим </w:t>
            </w:r>
            <w:r>
              <w:rPr>
                <w:rFonts w:ascii="Times New Roman" w:hAnsi="Times New Roman" w:cs="Times New Roman" w:eastAsia="Times New Roman"/>
                <w:b/>
                <w:color w:val="auto"/>
                <w:spacing w:val="0"/>
                <w:position w:val="0"/>
                <w:sz w:val="24"/>
                <w:shd w:fill="auto" w:val="clear"/>
              </w:rPr>
              <w:t xml:space="preserve">робним резервама</w:t>
            </w:r>
            <w:r>
              <w:rPr>
                <w:rFonts w:ascii="Times New Roman" w:hAnsi="Times New Roman" w:cs="Times New Roman" w:eastAsia="Times New Roman"/>
                <w:color w:val="auto"/>
                <w:spacing w:val="0"/>
                <w:position w:val="0"/>
                <w:sz w:val="24"/>
                <w:shd w:fill="auto" w:val="clear"/>
              </w:rPr>
              <w:t xml:space="preserve">. Роба набављена за потребе робних резерви представља врсту јавне својине, чија се набавка, складиштење и употреба мора прецизно регулисати, како би се избегле злоупотребе у овој области. Закон о робним резервама регулише само републичке робне резерве и наводи да „аутономна покрајина и јединица локалне самоуправе могу, зависно од својих потреба и могућности, образовати робне резерве, у складу са овим законом“ (чл. 3, став 3.), без детаљније регулације. У оним ЈЛС које су основале своје робне резерве потребно је прописати мере којим ће се ова област детаљно регулисати. Потребно је донети неопходан правни оквир или унапредити постојећи, на начин да се уреде следеће области: процедура набавке роба, процедура складиштења (нарочито у случају када се складиштење поверава приватним лицима, услед недостатка капацитета и простора које поседује локална самоуправа), процедура, услови и критеријуми расподеле робе из робних резерви, као и систем контроле.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119"/>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6.1. Успостављени механизми за управљање имовином у својини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обезбеђују одговорно управљање јавном својином ЈЛС</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Актима Града се делимично уређује питање управљања имовином у својини ЈЛС; не постоји регистар имовине на веб презентацији ЈЛС; не постоје робне резерве Града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Градски акти употпуњени тако да уређују сва питања битна за управљање јавном својином ЈЛС; успостављен јавно доступан и потпун регистар имовине у својини Града; размотрена потреба за успостављањем градских робних резерви.</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Општим актима регулисати процедуре стицања и располагања имовином у својини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Општи акти треба да садрже: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Обавезу и начин објављивања јавних позива за стицање и располагање имовином у јавној својини;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услова, критеријума и процедуре за отуђење или давање јавне својине на коришћење другим лицима;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механизма контроле стања јавне својине;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Прописивање одговорности и санкција за кршење одредаба из општег акта.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Изменити или допунити постојеће акте Града о прибављању, располагању и отуђењу ствари у јавној својини, давању у закуп ствари у јавној својини и поступцима јавног надметања, прикупљања писаних понуда и непосредне погодбе, тако да садрже све поменуте елементе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Усвојене измене/допуне аката Града о прибављању, располагању и отуђењу ствари у јавној својини, давању у закуп ствари у јавној својини и поступцима јавног надметања, прикупљања писаних понуда и непосредне погодбе.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Градска управа –Одсек за имовинско правне послове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31.1.2020.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процесу израде општих аката извршити анализу подзаконских аката донетих на основу Закона о јавној својини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Узети у обзир Модел Упутства СКГО о изради евиденције јавних служби и јавних предузећа и других организација чији је оснивач ЈЛС</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регистар јавне својине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Осим регистра јавне својине, потребно је одредити тело/службу или лице које је одговорно за вођење регистра јавне својине, процедуру вођења регистра, као и обавезу његовог редовног ажурирања.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Актом из тачке 6.1.1. уредити успостављање регистра јавне својине, одредити тело које је одговорно за вођење регистра и његово ажурирање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Уређено успостављање и вођење регистра,успостављен коначни регистар</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 Одељење за имовину</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уређивање регистра 31.12.2019.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успостављање регистра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31.12.2020.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Користити податке који се достављају Републичкој дирекцији за имовину</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јавност регистра јавне својине ЈЛС.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Објављен регистар јавне својине ЈЛС на интернет презентацији;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Регистар треба да садржи и информације о јавној својини датој на располагање другим лицима, корисницима имовине дате у закуп/коришћење, податке о субјектима којима је због злоупотреба одузето право закупа/коришћења и тако даље.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Објављивање Регистра на веб презентацији Града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Објављен регистар на веб презентацији Града, којисадржи и информације о јавној својини датој на располагање другим лицима, корисницима имовине дате у закуп/коришћење и податке о субјектима којима је због злоупотреба одузето право закупа/коришћења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правни оквир (односно унапредити постојећи тамо где он већ постоји) који се односи на управљање робним резервама.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Правни оквир за управљање робним резервама треба да садржи следеће елементе: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Процедуру набавке роба, процедуру складиштења (нарочито у случају када се складиштење поверава приватним лицима, услед недостатка капацитета и простора које поседује ЈЛС);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Процедуру, услове и критеријуме расподеле робе из робних резерви;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Систем контроле робних резерви.</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анализа потребе за успостављањем градских робних резерви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Извршена анализа којом ће бити утврђено да ли постоји потреба за успостављањем градских робних резерви и на који начин би то питање требало уредити актима ЈЛС</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p>
            <w:pPr>
              <w:suppressLineNumbers w:val="true"/>
              <w:suppressAutoHyphens w:val="true"/>
              <w:spacing w:before="0" w:after="0" w:line="240"/>
              <w:ind w:right="0" w:left="0" w:firstLine="0"/>
              <w:jc w:val="left"/>
              <w:rPr>
                <w:color w:val="auto"/>
                <w:spacing w:val="0"/>
                <w:position w:val="0"/>
                <w:shd w:fill="auto" w:val="clear"/>
              </w:rPr>
            </w:pP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Погледати члан 3. ст. 3. Закона о робним резервама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950"/>
      </w:tblGrid>
      <w:tr>
        <w:trPr>
          <w:trHeight w:val="288" w:hRule="auto"/>
          <w:jc w:val="left"/>
          <w:cantSplit w:val="1"/>
        </w:trPr>
        <w:tc>
          <w:tcPr>
            <w:tcW w:w="1395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numPr>
                <w:ilvl w:val="0"/>
                <w:numId w:val="368"/>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7: Управљање донацијама које прима ЈЛС</w:t>
            </w:r>
          </w:p>
        </w:tc>
      </w:tr>
      <w:tr>
        <w:trPr>
          <w:trHeight w:val="773" w:hRule="auto"/>
          <w:jc w:val="left"/>
        </w:trPr>
        <w:tc>
          <w:tcPr>
            <w:tcW w:w="1395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Опис области: </w:t>
            </w:r>
            <w:r>
              <w:rPr>
                <w:rFonts w:ascii="Times New Roman" w:hAnsi="Times New Roman" w:cs="Times New Roman" w:eastAsia="Times New Roman"/>
                <w:color w:val="auto"/>
                <w:spacing w:val="0"/>
                <w:position w:val="0"/>
                <w:sz w:val="20"/>
                <w:shd w:fill="auto" w:val="clear"/>
              </w:rPr>
              <w:t xml:space="preserve">Законом о донацијама и хуманитарној помоћи (“Службени лист СРЈ”, бр. 53/01, 61/01 - испр. и 36/02 и “Службени гласник РС”, бр. 101/05 - др. закон) прописано је да органи јавне власти – државни органи, јединице локалне самоуправе, јавна предузећа и јавне установе могу примати донацијe у роби (осим дувана и дуванских прерађевина, алкохолних пића и путничких аутомобила), услугама, новцу, хартијама од вредности, имовинским и другим правима. Међутим, Законом није уређен низ питања са становишта спречавања корупције као што су: прецизирање да се под донацијом подразумевају и поклони дати органима јавне власти; прописивања услова за давање донација органу јавне власти како би се избегао сукоб интереса, тј. утицај на законитост, непристрасност и објективност рада органа; утврђивање контролних механизама за испитивање оправданости и исплативости донација органима јавне власти, праћење наменског коришћења средстава донација у сваком конкретном случају, као и обезбеђивање транспарентности пријема донација кроз формирање јединственог јавног регистра који би садржао податке о свим донацијама органу јавне власти и њиховом коришћењу. Неадекватна регулација ове области омогућава да физичка и правна лица дају донације органима јавне власти који би требало да контролишу њихов рад или пред којима они остварују права и регулишу обавезе. Даваоци донација на тај начин себи могу обезбедити повлашћен положај, додатне повластице или избегавање санкције у случају да предвиђена контрола ЈЛС утврди да је било неправилности у њиховом раду. Ова врста утицаја не мора производити корупцију у ужем смислу речи (не мора бити остваривања приватне користи представника органа јавне власти који као правно лице прима донацију), али може озбиљно нарушити интегритет органа јавне власти, поверење јавности у његов рад и законито, непристрасно и професионално поступање органа у односу према даваоцима донација.</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Агенција за борбу против корупције упутила је у јуну 2016. године Иницијативу за допуне Закона о донацијама и хуманитарној помоћи, које би требало да отклоне уочене ризике. Међутим, с обзиром да није познато да ли ће и када допуне овог Закона бити усвојене, односно када ће оне почети да се примењују, ЈЛС могу својим интерним актима да предвиде отклањање појединих ризика у овој области и да на тај начин ојачају своју отпорност на потенцијалне коруптивне утицаје кроз давање, односно кроз пријем донација. У том смислу речи, могуће је интерним актима предвидети успостављање контролних механизима за испитивање оправданости и исплативости донација ЈЛС, као и механизама за праћење наменског коришћења средстава донација. Циљ ове контроле би требало, осим осталог, да буде испитивање да ли у сваком конкретном случају донација ЈЛС носи са собом неке прикривене трошкове, који превазилазе вредност саме донације, као и да ли се средства из донација наменски користе. Даље, неопходно је предвидети да је ЈЛС као прималац донације дужан да након реализације, у одређеном року, сачини и на својој интернет презентацији објави извештај о реализацији донације. На крају, потребно је предвидети формирање јединственог јавног регистра, као електронске базе, који би садржао податке о свим донацијама ЈЛС и њиховом коришћењу, чиме би се значајно унапредила транспарентност овог процеса, која је до сада била на веома ниском нивоу.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7.1 Отклоњене околности и могућност утицаја на рад органа ЈЛС кроз давање донација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којима се уводе механизми за отклањање околности и могућности утицаја на рад органа ЈЛС кроз давање донација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Не постоји акт који би уређивао ова питања </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Усвојен је акт који уређује сва питања од значаја за примање донација у корист ЈЛС</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претходног утврђивања оправданости и исплативости донација које прима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акткоји садржи обавезу да се пре пријема донације изради анализа оправданости донација које прима ЈЛС (утвђивање да ли ЈЛС у датом тренутку има потребу за конкретном донацијом, без обзира на њен карактер);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Осим оправданости донације, анализа треба да утврди и исплативост донације, односно да ли у донацији постоје прикривени трошкови који превазилазе или у будућности могу да превазиђу вредност саме донације, а који могу неоправдано и непотребно да повећају трошкове њеног коришћења.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Интерни акт треба да предвиди обавезу одбијања донације уколико се утврди да она није оправдана или да није исплатива, односно да садржи прикривене трошкове.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Одлуку Скупштине Града којом се уређује ова област</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Нацрт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Предлог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b/>
                <w:i/>
                <w:caps w:val="true"/>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Усвојена Одлука Скупштине Града </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коју формира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01.3.2020.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01.5.2020.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01.6.2020.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000000"/>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 доношењу акта узети у обзир Модел Одлуке о контроли пријема и реализације донација ЈЛС, који је припремила СКГО</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претходног утврђивања да ли постоји потенцијални, перципирани или стварни сукоб интереса приликом пријема донације.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 садржи обавезу да се пре пријема донације утврди да ли се давалац донације (без обзира да ли је правно или физичко лице) налази у специфичном односу и положају у односу на ЈЛС у смислу да:</w:t>
            </w:r>
          </w:p>
          <w:p>
            <w:pPr>
              <w:numPr>
                <w:ilvl w:val="0"/>
                <w:numId w:val="390"/>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ЈЛС врши контролу и надзор над радом донатора; </w:t>
            </w:r>
          </w:p>
          <w:p>
            <w:pPr>
              <w:numPr>
                <w:ilvl w:val="0"/>
                <w:numId w:val="390"/>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Донатор пред службама и органима ЈЛС остварује предвиђена права и испуњава прописане обавезе; </w:t>
            </w:r>
          </w:p>
          <w:p>
            <w:pPr>
              <w:numPr>
                <w:ilvl w:val="0"/>
                <w:numId w:val="390"/>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Донатор представља повезано лице са неким јавним функционером ЈЛС. </w:t>
            </w:r>
          </w:p>
          <w:p>
            <w:pPr>
              <w:suppressLineNumbers w:val="true"/>
              <w:suppressAutoHyphens w:val="true"/>
              <w:spacing w:before="0" w:after="0" w:line="240"/>
              <w:ind w:right="0" w:left="35"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Интерни акт треба да предвиди обавезу одбијања донације уколико се утврди да постоје елементи сукоба интереса у односу између даваоца донације и ЈЛС.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Одлуком из тачке 7.1.1. обухватити ову област</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Усвојена Одлука Скупштине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коју формира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01.3.2020.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01.5.2020.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01.6.2020.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праћења наменског коришћења средстава из донација.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 садржи обавезу праћења наменског коришћења средстава из донација.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Одлуком из тачке 7.1.1. обухватити ову област</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који садржи обавезу праћења наменског коришћења средстава из донација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коју формира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01.3.2020.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01.5.2020.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01.6.2020.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израде и објављивања извештаја о реализацији донације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 садржи обавезу израде извештаја о реализацији донације;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Извештај о реализацији донације се благовремено објављује на интернет презентацији ЈЛС.</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Одлуком из тачке 7.1.1. обухватити ову област</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који садржи обавезу извештаја о реализацији донације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коју формира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01.3.2020.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01.5.2020.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01.6.2020.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7.1.5</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формирања јединственог јавног регистра који би садржао податке о свим донацијама ЈЛС и њиховом коришћењу.</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акт који садржи обавезу формирања јединственог јавног регистра, као електронске базе података, који би садржао податке о свим донацијама ЈЛС и њиховом коришћењу;</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Јединствени јавни регистар донација се редовно ажурира на интернет презентацији ЈЛС.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Одлуком из тачке 7.1.1. обухватити ову област</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Формирати јавно доступан регистар</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акт који садржи обавезу формирања јединственог јавног регистра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Регистар формиран и доступан на интернет презентацији ГрадаВрања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Радна група коју формира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01.3.2020.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01.5.2020.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01.6.2020.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4040"/>
      </w:tblGrid>
      <w:tr>
        <w:trPr>
          <w:trHeight w:val="1" w:hRule="atLeast"/>
          <w:jc w:val="left"/>
        </w:trPr>
        <w:tc>
          <w:tcPr>
            <w:tcW w:w="1404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405"/>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8: Регулација административних процедура и унапређење контроле процедура за остваривање права и регулисање обавеза корисника услуга ЈЛС</w:t>
            </w:r>
          </w:p>
        </w:tc>
      </w:tr>
      <w:tr>
        <w:trPr>
          <w:trHeight w:val="1" w:hRule="atLeast"/>
          <w:jc w:val="left"/>
        </w:trPr>
        <w:tc>
          <w:tcPr>
            <w:tcW w:w="1404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На нивоу ЈЛС спроводи се велики број поступака у којима грађани остварују своја права пред службама локалне управе у којима постоји „двострана комуникација“ на релацији подносилац захтева – службеник. Реч је о поступцима у којима се одлучује о правима и обавезама грађана, гдестранка подноси захтев са одређеном документацијом, а на основу које службеник доноси одређени акт. Потенцијални проблеми и коруптивни ризици код овакве врсте процедура могу се пронаћи на више нивоа. Најпре, поједине процедуре, рокови, критеријуми и услови поступака који се воде пред органима ЈЛС нису довољно прецизни, што оставља дискрециона овлашћења службеницима да решавају о сличним предметима у различитим роковима, уз тражење различитих и неуједначених врста доказа и документације, па и са различитим исходима, уз плаћање различитих надокнада или такси. То отвара простор за корупцију у смислу да се у овако нерегулисаним процедурама остварује потенцијални и стварни утицај странака на службенике да убрзају/успоре процедуре или одлуче са/без потребних услова. Проблем са овом врстом процедура је и у томе што не постоји прецизна и свеобухватна листа о којим процедурама на нивоу јединица локалне самоуправе је, заправо, реч. Због тога, задатак сваке ЈЛС треба да буде израда упутства/плана пописа ових процедура у појединачним ЈЛС, њихов попис и објављивање. Након тога, за поједине од тих процедура одлучивање (тамо где је то, наравно, могуће и што је у надлежности ЈЛС) спровело би се отклањање ризика од корупције кроз  смањење дискреције службеника, односно прецизирања постојећих или успостављања додатних критеријума за одлучивање, прецизирање рокова, израду додатних упутстава и образаца и слично.</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Други проблем је одсуство контроле у овим поступцима, коју би спроводила трећа,  заинтересована лица (каквих често нема у оваквој врсти „једностраначких поступака“) руководилац или друга инстанца у оквиру ЈЛС(јер се углавном сматра да за тим или нема потребе или нема довољног капацитета). У таквој ситуацији се може десити да странка не поднесе потребну документацију, а да се одлучи позитивно и у њену корист, јер све остаје између ње и службеника, који на овакву врсту поступања може бити подстакнут различитим коруптивним механизмима. Оваква врста ризика се може отклонити увођењем система унакрсне, периодичне и редовне контроле предмета, како од стране руководилаца, тако и системом међусобне провере обраде ове врсте предмета међу службеницима који овакве предмете обрађују. Веома је важно да ова врста контролног механизма буде дефинисана као писана процедура, како би се избегло да се тај механизам злоупотреби и претвори у притисак на рад службеника.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8.1.1., 8.3.1., 8.3.2. из Модела ЛАП изостављене су зато што су уређене и реализоване другим документима и прописима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119"/>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8.1. Повећана транспарентност административних процедура за остваривање права и регулисање обавеза корисника услуга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јавно доступан регистар свих административних процедура за остваривање права и обавеза корисника услуга ЈЛС</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Објављен регистар административних процедура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Све административне процедуре су објављене у регистру на веб презентацији; вођење регистра је уређено интерним актом</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119"/>
      </w:tblGrid>
      <w:tr>
        <w:trPr>
          <w:trHeight w:val="1" w:hRule="atLeast"/>
          <w:jc w:val="left"/>
        </w:trPr>
        <w:tc>
          <w:tcPr>
            <w:tcW w:w="1395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8.2. Отклоњени ризици од корупције у административним процедурама чије је регулисање у надлежности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Измењен правни оквир из надлежности ЈЛС у правцу додатног отклањања ризика од корупције у административним процедурама.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постоји пракса анализе  прописа чије је усвајање у надлежности ЈЛС, са становишта ризика од корупције у администартивним процедурама. (Тренутно идентификовано 214 админситративнх процедура)</w:t>
            </w:r>
          </w:p>
        </w:tc>
        <w:tc>
          <w:tcPr>
            <w:tcW w:w="423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унети)___ број прописа који су измењени у складу са анализом ризика од корупције у административним процедурама, број прописаза које је спроведена анализа ризика од корупције у административним процедурама и удео у односу на укупан број прописа. </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Спровести анализу потреба, могућности и оправданости додатног отклањања ризика од корупције у административним процедурама чије је регулисање у надлежности ЈЛС.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Анализа потреба, могућности и оправданости додатног отклањања ризика од корупције у административним процедурама чије је регулисање у надлежности ЈЛС треба да узме у обзир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 ли постоје административне процедуре за које је могуће додатно смањити, односно ограничити дискрецију службеника, односно да ли је потребно додатно прецизирати постојеће или успоставити додатне критеријуме за одлучивање;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Прецизирати рокове, израдити додатна упутства и обрасце.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Актом из тачке 8.1.1. прописати обавезу анализе потреба, могућности и оправданости додатног отклањања ризика од корупције у административним процедурама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Усвојене измене и допуне акта из тачке 8.1.1. Израђене анализе за све административне процедуре.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ГУ, шефови свих организационих јединица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30.9.2019.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измене и допуне акта из тачке 8.1.1</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30.4.2020.</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анализе процедура</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потребна додатна средства</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току је пројекат унапређења административне ефикасности и делотворности  СКГО и ФУК</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8.2.2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Отклонити ризике од корупције у административним процедурама чије је регулисање у надлежности ЈЛС, у складу са резултатима анализе потреба, могућности и оправданости.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складу са анализом, сачињен план и програм усвајања или измене правних аката који су у надлежности ЈЛС, а чије усвајање или измена треба да резултира отклањањем ризика од корупције у административним процедурама чије је регулисање у надлежности ЈЛС;</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Спроведена измена правних аката;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Измењене административне процедуре и ажуриране у регистру.</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зависности од резултата анализе: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усвајања или измене правних аката који су у надлежности Града, на основу анализе из тачке 8.2.1.: </w:t>
              <w:br/>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Изменити правна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Ажурирати регистар</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зависности од резултата анализе: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усвајања или измене правних аката који су у надлежности Града, на основу анализе из тачке 8.2.1.:</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Измењена правна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Ажуриран регистар</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зависности од резултата анализе: Начелник ГУ, председник скупштине, градоначелник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Особа/служба одређена актом из тачке 8.1.1.</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30.6.2020.</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измену правних аката и објављивање измене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потребна додатна средства </w:t>
            </w:r>
          </w:p>
        </w:tc>
        <w:tc>
          <w:tcPr>
            <w:tcW w:w="111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току је пројекат унапређења административне ефикасности и делотворности  СКГО и ФУК</w:t>
            </w: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8.3.Унапређен систем контроле спровођења административних процедура за остваривање права и обавеза корисника услуга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интерне процедуре којима се регулише систем контроле спровођења административних процедура за остваривање права и обавеза корисника услуга ЈЛС</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214 </w:t>
            </w:r>
            <w:r>
              <w:rPr>
                <w:rFonts w:ascii="Times New Roman" w:hAnsi="Times New Roman" w:cs="Times New Roman" w:eastAsia="Times New Roman"/>
                <w:color w:val="auto"/>
                <w:spacing w:val="0"/>
                <w:position w:val="0"/>
                <w:sz w:val="24"/>
                <w:shd w:fill="auto" w:val="clear"/>
              </w:rPr>
              <w:t xml:space="preserve">административних процедура које подлежу контроли према интерној процедури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Донет акт који уређује методологију контроле, њен план и програм</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 </w:t>
            </w:r>
            <w:r>
              <w:rPr>
                <w:rFonts w:ascii="Times New Roman" w:hAnsi="Times New Roman" w:cs="Times New Roman" w:eastAsia="Times New Roman"/>
                <w:color w:val="auto"/>
                <w:spacing w:val="0"/>
                <w:position w:val="0"/>
                <w:sz w:val="24"/>
                <w:shd w:fill="auto" w:val="clear"/>
              </w:rPr>
              <w:t xml:space="preserve">број административних процедура које подлежу контоли према интерној процедури</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Контроле се спроводе и извештај о бјављује два пута годишње. </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8.3.3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 складу са интерним актом, израдити и објавити извештај о спроведеној  контроли.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Извештај о спроведеној контроли треба да буде доступан у органима ЈЛС, као и јавности, у складу са прописима који обезбеђују заштиту података о личности.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 случајевима утврђених неправилности и злоупотреба, резултат контроле треба да буде и даље поступање у конкретним појединачним случајевима (покретање дисциплинске, прекршајне, кривичне и друге одговорности).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Објавити шестомесечне извештај Радне групе за спровођење процеуре о унаоређењу ефикасности и увођењу стандарда при споровођењу администартивних пиступака по достављању начелнику ГУ, на сајту Града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Објављеншестомесечне извештај Радне групе за спровођење процеуре о унаоређењу ефикасности и увођењу стандарда при споровођењу администартивних пиступака по достављању начелнику ГУ, на сајту Града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градске управе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Редовно полугодишње, почев од.марта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Извештај треба да садржи, осим података о спроведоној контроли, и податке о даљем  поступању у случају утврђенихнеправилности или индикацијама о неправилностима.</w:t>
            </w: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860"/>
      </w:tblGrid>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459"/>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9: Развој програма помоћи и солидарности за остваривање потреба особа са инвалидитетом и за заштиту права осетљивих група</w:t>
            </w:r>
          </w:p>
        </w:tc>
      </w:tr>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Сваки процес  где орган јавне власти врши дистрибуцију јавних ресурса, по било ком основу и у чему год да се ти ресурси огледају, представља ризик за настанак корупције. Имајући у виду да ЈЛС имају надлежност да организују и пружају помоћ локалном становништву, посебно становништву које припада осетљивим групама, веома је важно да процес доделе ове врсте помоћи буде регулисан на начин да се избегне да ова средства а) заврше у рукама оних који њима управљају (на било који начин) и б) заврше у рукама оних који не испуњавају услове и критеријуме да се нађу у кругу лица којима је оваква врста помоћи намењена. Ову област је врло тешко једнообразно регулисати, с обзиром на то да у оквиру ове опште надлежности свака ЈЛС, у складу са специфичностима локалне заједнице, одлучује које су то категорије популације и који су то начини за организовање помоћи. Због тога, ЛАП треба да предвиди механизам у оквиру кога свака ЈЛС треба да идентификује и регулише ове процесе на начин да се усвоје/измене  прописи ЈЛС који регулишу процес доделе средстава помоћи, односно остваривање солидарности и то тако да се обезбеди потпуна транспарентност програма, успостављање јасних критеријума доделе помоћи и контрола процеса, као и усклађеност овог процеса са стратешким документима развоја ЈЛС. Тако се смањује дискрециона моћ у доношењу одлуке за које групе и када ће бити организовани конкурси за доделу помоћи. Собзиром на то да остварење ове надлежности има за циљне групе различите врсте маргинализованих друштвених група, које углавном имају своја удружења и друге моделе организовања, локални антикорупцијски план би требало да ојача сарадњу између ЈЛС и ових субјеката (на пример, кроз укључивање представника ових организација и удружења у рад комисија, у дефинисање критеријума, контролу процеса и трошења додељених средстава и тако даље). Иако се ЛАП углавном односи на органе и службе ЈЛС, један од циљева овог документа треба да буде и повезивање и боља координација локалних актера на остваривању заједничког интереса локалног становништва.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Након идентификовања конкретних активности ЈЛС у оквиру ове надлежности, потребно је анализирати да ли постоји и какав је постојећи правни оквир на нивоу ЈЛС који регулише те процесе (на пример, да ли постоје одговарајући правилници, одлуке, упутства) и каква је пракса у овој области са становишта ризика од корупције. Осим тога, потребно је успоставити или унапредити процедуре расподеле средстава на начин да за то буду одговорне комисије које ће имати своје правилнике о раду, чији ће чланови бити подвргнути механизмима за спречавање сукоба интереса, које ће јавно објављивати документе о свом раду и на чије ће одлуке постојати право одговарајуће жалбе, односно вишестепеност у доношењу коначне одлуке.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9.1. Смањење дискреционих овлашћења надлежних служби и органа ЈЛС у процесу доношења одлуке о избору програма и/или циљних група за које се спроводи додела помоћи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Све одлуке о програмима и/или циљним групама за које се организује додела помоћи усаглашени су са стратешким и развојним документима ЈЛС или са другим документима који јединици локалне самоуправе прописују обавезе да спроводе овакве врсте поступака.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програма и/или циљних група за које се организује додела помоћи који су усаглашени са стратешким документима ЈЛС или са другим документима који ЈЛС прописују обавезе да спроводе овакве врсте поступака </w:t>
            </w:r>
            <w:r>
              <w:rPr>
                <w:rFonts w:ascii="Times New Roman" w:hAnsi="Times New Roman" w:cs="Times New Roman" w:eastAsia="Times New Roman"/>
                <w:i/>
                <w:color w:val="auto"/>
                <w:spacing w:val="0"/>
                <w:position w:val="0"/>
                <w:sz w:val="24"/>
                <w:shd w:fill="auto" w:val="clear"/>
              </w:rPr>
              <w:t xml:space="preserve">у односу</w:t>
            </w:r>
            <w:r>
              <w:rPr>
                <w:rFonts w:ascii="Times New Roman" w:hAnsi="Times New Roman" w:cs="Times New Roman" w:eastAsia="Times New Roman"/>
                <w:color w:val="auto"/>
                <w:spacing w:val="0"/>
                <w:position w:val="0"/>
                <w:sz w:val="24"/>
                <w:shd w:fill="auto" w:val="clear"/>
              </w:rPr>
              <w:t xml:space="preserve"> на укупан број програма и/или циљних група за које се програми организују(вредност индикатора није тано утврђена, јер би то захтевало додатну анализу)</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програма и/или циљних група за које се организује додела помоћи који су усаглашени са стратешким документима ЈЛС или са другим документима који ЈЛС прописују обавезе да спроводе овакве врсте поступака </w:t>
            </w:r>
            <w:r>
              <w:rPr>
                <w:rFonts w:ascii="Times New Roman" w:hAnsi="Times New Roman" w:cs="Times New Roman" w:eastAsia="Times New Roman"/>
                <w:i/>
                <w:color w:val="auto"/>
                <w:spacing w:val="0"/>
                <w:position w:val="0"/>
                <w:sz w:val="24"/>
                <w:shd w:fill="auto" w:val="clear"/>
              </w:rPr>
              <w:t xml:space="preserve">у односу</w:t>
            </w:r>
            <w:r>
              <w:rPr>
                <w:rFonts w:ascii="Times New Roman" w:hAnsi="Times New Roman" w:cs="Times New Roman" w:eastAsia="Times New Roman"/>
                <w:color w:val="auto"/>
                <w:spacing w:val="0"/>
                <w:position w:val="0"/>
                <w:sz w:val="24"/>
                <w:shd w:fill="auto" w:val="clear"/>
              </w:rPr>
              <w:t xml:space="preserve"> на укупан број програма и/или циљних група за које се програми организују(циљ је да сви програми буду засновани на стратешким документима)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Спровести анализу усаглашености програма за доделу помоћи са стратешким и развојним документима ЈЛС или са другим прописима/документима на националном нивоу који ЈЛС прописују обавезе да спроводе овакве врсте програма.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Спроведена анализа која треба да утврди да ли су досадашњи програми за доделу помоћи усаглашени са стратешким и развојним документима ЈЛС или са другим прописима/документима који ЈЛС прописују обавезе да спроводе овакве врсте поступака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анализу усаглашености програма за доделу помоћи са  стратешким и развојним документима Града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Спроведена анализа усаглашености програма за доделу помоћи са  стратешким и развојним документима Града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и ресорни Градски већници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Резултате анализе узети у обзир при изради новог стратешког акта;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да се сви програми за доделу помоћи усагласе са стратешким и развојним документима ЈЛС или са другим прописима/документима који ЈЛС прописују обавезе да спроводе овакве врсте програма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Обавеза треба да буде прописана на начин да се свака одлука о спровођењу програма за доделу помоћи, осим на правна акта у ужем смислу речи, позива и на стратешка и развојна документа ЈЛС или на друге прописе/документа који ЈЛС прописују обавезе да спроводе овакве врсте програма.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 основу резултата анализе Правилника о додели помоћи организацијамаусвојити закључак којим ће се прописати обавеза да се све одлуке о организацији доделе помоћи позивају на стратешка документа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закључак којим ће се прописати обавеза да се све одлуке о организацији доделе помоћи позивају на стратешка документа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и ресорни Градски већници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939"/>
      </w:tblGrid>
      <w:tr>
        <w:trPr>
          <w:trHeight w:val="1" w:hRule="atLeast"/>
          <w:jc w:val="left"/>
        </w:trPr>
        <w:tc>
          <w:tcPr>
            <w:tcW w:w="1377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9.2. ЈЛС на редовној основи сарађује са организацијама цивилног друштва (ОЦД)/другим локалним актерима у правцу боље координације у процесу доделе помоћи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Успостављена и формализована сарадња са организацијама цивилног друштва (ОЦД)/другим локалним актерима у правцу боље координације у процесу доделе помоћи</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организација цивилног друштва (ОЦД)/других актера са којима постоји сарадња у овој надлежности (није утврђено)</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организација цивилног друштва (ОЦД)/других актера са којима постоји сарадња у овој надлежности</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укључивања организација цивилног друштва (ОЦД)/других актера у процес припреме, спровођења и контроле програма за доделу помоћи.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Идентификоване организације цивилног друштва (ОЦД)/други актери који су релевантни за одређене програме доделе помоћи, односно за одређене циљне групе;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Потписани споразуми о сарадњи/други видови формализације сарадње између ЈЛС и ОЦД/других актера који подразумевају дефинисање међусобних права и обавеза;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Споразуми о сарадњи/други видови формализације сарадње садрже обавезу укључивања/консултовања ОЦД/других актера у процес дефинисања услова, критеријума и мерила, учешће у пријему захтева/пријава на конкурс и учешће у контроли програма.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Комисија за доделу јенократне помоћи у одрећеним случајевима позива ОЦД да дају предлоге за додлеу помоћи и да се укључе у праћење спровођења програма за доделу помоћи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Уведена пракса позвања ОЦД да дају предлоге за доделу помоћи и да се укључе у праћење спровођења програма за доделу помоћи</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Комисија за доделу јенократне помоћи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Почев од усвајања ЛАП-а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Постоје споразуми  осарадњи са ОЦД које штите поједине рањиве групе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9.3. Повећана транспарентност у процесу доделе помоћи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Јавно доступни сви елементи програма за доделу помоћи, у складу са прописима који обезбеђују заштиту података о личности</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Број програма за доделу помоћи за које су јавно доступни </w:t>
            </w:r>
            <w:r>
              <w:rPr>
                <w:rFonts w:ascii="Times New Roman" w:hAnsi="Times New Roman" w:cs="Times New Roman" w:eastAsia="Times New Roman"/>
                <w:i/>
                <w:color w:val="auto"/>
                <w:spacing w:val="0"/>
                <w:position w:val="0"/>
                <w:sz w:val="24"/>
                <w:shd w:fill="auto" w:val="clear"/>
              </w:rPr>
              <w:t xml:space="preserve">елементи</w:t>
            </w:r>
            <w:r>
              <w:rPr>
                <w:rFonts w:ascii="Times New Roman" w:hAnsi="Times New Roman" w:cs="Times New Roman" w:eastAsia="Times New Roman"/>
                <w:color w:val="auto"/>
                <w:spacing w:val="0"/>
                <w:position w:val="0"/>
                <w:sz w:val="24"/>
                <w:shd w:fill="auto" w:val="clear"/>
              </w:rPr>
              <w:t xml:space="preserve"> у односу на укупан број програма,  </w:t>
            </w:r>
            <w:r>
              <w:rPr>
                <w:rFonts w:ascii="Times New Roman" w:hAnsi="Times New Roman" w:cs="Times New Roman" w:eastAsia="Times New Roman"/>
                <w:i/>
                <w:color w:val="auto"/>
                <w:spacing w:val="0"/>
                <w:position w:val="0"/>
                <w:sz w:val="24"/>
                <w:shd w:fill="auto" w:val="clear"/>
              </w:rPr>
              <w:t xml:space="preserve">у складу са индикатором испуњености (квалитета) мере(није утврђен број). Постоји акт који уређује питање доделе помоћи, као и посебна правила за сваки конкурс.</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Број програма за доделу помоћи за које су јавно доступни </w:t>
            </w:r>
            <w:r>
              <w:rPr>
                <w:rFonts w:ascii="Times New Roman" w:hAnsi="Times New Roman" w:cs="Times New Roman" w:eastAsia="Times New Roman"/>
                <w:i/>
                <w:color w:val="auto"/>
                <w:spacing w:val="0"/>
                <w:position w:val="0"/>
                <w:sz w:val="24"/>
                <w:shd w:fill="auto" w:val="clear"/>
              </w:rPr>
              <w:t xml:space="preserve">елементи</w:t>
            </w:r>
            <w:r>
              <w:rPr>
                <w:rFonts w:ascii="Times New Roman" w:hAnsi="Times New Roman" w:cs="Times New Roman" w:eastAsia="Times New Roman"/>
                <w:color w:val="auto"/>
                <w:spacing w:val="0"/>
                <w:position w:val="0"/>
                <w:sz w:val="24"/>
                <w:shd w:fill="auto" w:val="clear"/>
              </w:rPr>
              <w:t xml:space="preserve"> у односу на укупан број програма, </w:t>
            </w:r>
            <w:r>
              <w:rPr>
                <w:rFonts w:ascii="Times New Roman" w:hAnsi="Times New Roman" w:cs="Times New Roman" w:eastAsia="Times New Roman"/>
                <w:i/>
                <w:color w:val="auto"/>
                <w:spacing w:val="0"/>
                <w:position w:val="0"/>
                <w:sz w:val="24"/>
                <w:shd w:fill="auto" w:val="clear"/>
              </w:rPr>
              <w:t xml:space="preserve">у складу са индикатором испуњености (квалитета) мере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Општи акт и правила за појединачне конкурсе обезбеђују пуну транспарентност</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9.3.1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да се сви елементи програма јавно објављују, у складу са прописима који обезбеђују заштиту података о личности</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Обавеза подразумева јавно објављивање најмање следећих елемената: позива, услова, критеријума и мерила за доделу помоћи, начина подношења захтева/пријава на конкурс и потребну документацију, имена и функције лица/чланова комисије која учествују у поступку, ранг листе и износе додељене помоћи, извештаје о спровођењу поступка/конкурса.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Изменити Одлуку о социјалној заштити на територији Градатако да се предвиди  да Правилници пропишу обавезеобјављивања најмање следећих елемената: позива, услова, критеријума и мерила за доделу помоћи, начина подношења захтева/пријава на конкурс и потребну документацију, ранг листе и износе додељене помоћи, извештаје о спровођењу поступка/конкурса.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Измењена Одлука о социјалној заштити на територији Града тако да је предвиђено да Правилници пропишу обавезе објављивања најмање следећих елемената: позива, услова, критеријума и мерила за доделу помоћи, начина подношења захтева/пријава на конкурс и потребну документацију, ранг листе и износе додељене помоћи, извештаје о спровођењу поступка/конкурса.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Скуптина града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9.4. Отклоњени ризици за настанак сукоба интереса у процесима доделе помоћи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мере за управљање сукобом интереса у процесима доделе помоћи</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Карактер мера за управљање сукобом интереса у овој области, </w:t>
            </w:r>
            <w:r>
              <w:rPr>
                <w:rFonts w:ascii="Times New Roman" w:hAnsi="Times New Roman" w:cs="Times New Roman" w:eastAsia="Times New Roman"/>
                <w:i/>
                <w:color w:val="auto"/>
                <w:spacing w:val="0"/>
                <w:position w:val="0"/>
                <w:sz w:val="24"/>
                <w:shd w:fill="auto" w:val="clear"/>
              </w:rPr>
              <w:t xml:space="preserve">у складу са индикатором испуњености (квалитета) мере</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Карактер мера за управљање сукобом интереса, </w:t>
            </w:r>
            <w:r>
              <w:rPr>
                <w:rFonts w:ascii="Times New Roman" w:hAnsi="Times New Roman" w:cs="Times New Roman" w:eastAsia="Times New Roman"/>
                <w:i/>
                <w:color w:val="auto"/>
                <w:spacing w:val="0"/>
                <w:position w:val="0"/>
                <w:sz w:val="24"/>
                <w:shd w:fill="auto" w:val="clear"/>
              </w:rPr>
              <w:t xml:space="preserve">у складу са индикатором испуњености (квалитета) мере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9.4.1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елементе управљања сукобом интереса чланова комисија и/или лица (службеника) који спроводе поступке за доделу помоћи</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Елементи управљања сукобом интереса подразумевају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Потписивање изјаве о непостојању приватног интереса у вези са учесницима конкурса/са лицима која подносе захтеве;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одговорност за члана комисије/лица (службеника) за кога се утврди да је био у сукобу интереса;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Одлуку о социјалној заштити  на територији Градаунети да ће Комисија у Правилник о раду  унети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Прописивање одговорности за чланакомисије/лица (службеника) за кога се утврди да је био у сукобу интереса;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Одлуци осоцијалнојзаштитина територији Града унето</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Прописивање одговорности за члана комисије/лица(службеника) за кога се утврди да је био у сукобу интереса;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Одељење за друштвене делатности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860"/>
      </w:tblGrid>
      <w:tr>
        <w:trPr>
          <w:trHeight w:val="1" w:hRule="atLeast"/>
          <w:jc w:val="left"/>
        </w:trPr>
        <w:tc>
          <w:tcPr>
            <w:tcW w:w="1386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numPr>
                <w:ilvl w:val="0"/>
                <w:numId w:val="529"/>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10: Додела средстава из буџета ЈЛС за остваривање јавних интереса локалне заједнице</w:t>
            </w:r>
          </w:p>
        </w:tc>
      </w:tr>
      <w:tr>
        <w:trPr>
          <w:trHeight w:val="1" w:hRule="atLeast"/>
          <w:jc w:val="left"/>
        </w:trPr>
        <w:tc>
          <w:tcPr>
            <w:tcW w:w="1386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Поред претходно описане области која има за циљ јачање солидарности и друштвене кохезије кроз институционалну помоћ и подршку лицима која због личних или друштвених својстава захтевају посебне програме помоћи, ЈЛС из јавних извора, односно из својих буџета, по разним основама, врше и алокацију средстава за различите пројекте и програме који за циљ имају промоцију, остваривање или заштиту јавних интереса локалне заједнице. С обзиром на то да је свако давање, односно расподела средстава из јавних извора по својој природи област која садржи велики број ризика за настанак корупције и других неправилности и злоупотреба, ова област захтева додатну пажњу сваке ЈЛС.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Према Закону о удружењима (“Службени гласник РС”, бр. 51/09) и Уредби о средствима за подстицање програма или недостајућег дела средстава за финансирање програмa од јавног интереса које реализују удружења (“Службени гласник РС”, бр. 16/18), као и према бројним законима у различитим секторима, областима, односно ресорима, ЈЛС су органи јавне власти који финансирају активности и пројекте удружења грађана, односно организација цивилног друштва. Иако се у овој области у претходним годинама доста учинило у правцу повећања транспарентности, јачања система контроле и смањења дискреционих овлашћења свих органа јавне власти, изазови који постоје у финансирању удружења захтевају увек и изнова нове антикорупцијске активности које прате еволуцију „иновативних“ форми којима се средства из јавних извора намењена удружењима грађана не користе за остваривање јавног, већ различитих приватних интереса, на обе стране овог процеса (представника удружења и представника органа који располажу средствима). Превенција корупције се у овој области може остварити, пре свега, даљим јачањем транспаретности целокупног процеса, као и јачањем интерних „одбрамбених механизама“ сваке ЈЛС који могу и треба да спрече настанак различитих неправилности, злоупотреба и корупције.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Други веома важан јавни интерес који би ЈЛС требало да штите и подстичу кроз своја буџетска давања тиче се остваривања јавног интереса кроз суфинансирање пројеката у области јавног информисања, на начин како је то прописано Законом о јавном информисању и медијима (“Службени гласник РС”, бр. 83/14, 58/15 i 12/16 - аутентично тумачење) и Правилником о суфинансирању пројеката за остваривање јавног интереса у области јавног информисања (“Службени гласник РС”, бр. 16/16и 8/17). Ова област је до сада у јавности изазивала бројне контроверзе, проблеме и сумње у вези са тим да ли органи јавне власти, па и ЈЛС као веома важан део целог процеса, на прави начин расписују и спроводе јавне конкурсе, односно да ли се буџетска средства користе за остваривање јавног интереса локалне заједнице или за интересе самих органа ЈЛС, одређених политичких опција или одређених медија који су блиски појединцима или органима ЈЛС. Због велике важности и утицаја које имају медији, као и због снажних коруптивних ризика, ЈЛС би требало посебну пажњу у својим ЛАП-овима да посвете овој области, на начин како је то предложено у Моделу, као и да друге начине које ЈЛС буду сматрале за сходно у складу са својим потребама и капацитетима.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10.1. Повећање транспарентности, одговорности и контроле над процесом доделе средстава удружењима грађана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делотворне јавне политике на нивоу ЈЛС које обезбеђују пуну транспарентност, одговорност и контролу над процесом суфинансирања програмa од јавног интереса које реализују удружења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Постоје прописи који уређују ову материју</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 </w:t>
            </w:r>
            <w:r>
              <w:rPr>
                <w:rFonts w:ascii="Times New Roman" w:hAnsi="Times New Roman" w:cs="Times New Roman" w:eastAsia="Times New Roman"/>
                <w:color w:val="auto"/>
                <w:spacing w:val="0"/>
                <w:position w:val="0"/>
                <w:sz w:val="24"/>
                <w:shd w:fill="auto" w:val="clear"/>
              </w:rPr>
              <w:t xml:space="preserve">број интерних јавних политика и/или њихов карактер, </w:t>
            </w:r>
            <w:r>
              <w:rPr>
                <w:rFonts w:ascii="Times New Roman" w:hAnsi="Times New Roman" w:cs="Times New Roman" w:eastAsia="Times New Roman"/>
                <w:i/>
                <w:color w:val="auto"/>
                <w:spacing w:val="0"/>
                <w:position w:val="0"/>
                <w:sz w:val="24"/>
                <w:shd w:fill="auto" w:val="clear"/>
              </w:rPr>
              <w:t xml:space="preserve">описно</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дефинисања </w:t>
            </w:r>
            <w:r>
              <w:rPr>
                <w:rFonts w:ascii="Times New Roman" w:hAnsi="Times New Roman" w:cs="Times New Roman" w:eastAsia="Times New Roman"/>
                <w:i/>
                <w:color w:val="auto"/>
                <w:spacing w:val="0"/>
                <w:position w:val="0"/>
                <w:sz w:val="24"/>
                <w:shd w:fill="auto" w:val="clear"/>
              </w:rPr>
              <w:t xml:space="preserve">јавног интереса </w:t>
            </w:r>
            <w:r>
              <w:rPr>
                <w:rFonts w:ascii="Times New Roman" w:hAnsi="Times New Roman" w:cs="Times New Roman" w:eastAsia="Times New Roman"/>
                <w:color w:val="auto"/>
                <w:spacing w:val="0"/>
                <w:position w:val="0"/>
                <w:sz w:val="24"/>
                <w:shd w:fill="auto" w:val="clear"/>
              </w:rPr>
              <w:t xml:space="preserve">који се остварује програмима који реализују удружења, односно успоставити обавезу да се сваки програм позива на већ дефинисан </w:t>
            </w:r>
            <w:r>
              <w:rPr>
                <w:rFonts w:ascii="Times New Roman" w:hAnsi="Times New Roman" w:cs="Times New Roman" w:eastAsia="Times New Roman"/>
                <w:i/>
                <w:color w:val="auto"/>
                <w:spacing w:val="0"/>
                <w:position w:val="0"/>
                <w:sz w:val="24"/>
                <w:shd w:fill="auto" w:val="clear"/>
              </w:rPr>
              <w:t xml:space="preserve">јавни интерес</w:t>
            </w:r>
            <w:r>
              <w:rPr>
                <w:rFonts w:ascii="Times New Roman" w:hAnsi="Times New Roman" w:cs="Times New Roman" w:eastAsia="Times New Roman"/>
                <w:color w:val="auto"/>
                <w:spacing w:val="0"/>
                <w:position w:val="0"/>
                <w:sz w:val="24"/>
                <w:shd w:fill="auto" w:val="clear"/>
              </w:rPr>
              <w:t xml:space="preserve">.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Јавни интерес који се остварује програмима које реализују удружења треба да буде дефинисан на стратешком нивоу, односно да буде дефинисан у стратешким или развојним документима ЈЛС; сваки појединачни поступак суфинансирања програма треба да се позива на дефинисан јавни интерес, односно на успостављање везе и оправдање на који начин ће конкретан програм суфинансирања програма остварити, промовисати и штитити јавни интерес (на пример, кроз одређивање приоритета у финансирању за конкретну годину, тематских области програма и јавних конкурса и слично).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процесу јавне расправе о буџету Града за наредну годину спровести и јавну расправу о приоритетима за финансирање програма кроз које удружења остварују јавни интерес</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 склопу јавне расправе о буџету утврђени приоритети за финансирање програма удружења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Као и сваке наредне године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целовит и заокружен интерни правни оквир на нивоу ЈЛС који регулише суфинансирање програмa од јавног интереса које реализују удружења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Заокружен и целовит интерни правни оквир подразумева најмање следеће: 1) постојање интерног акта (правилника) који регулише суфинансирање програмa од јавног интереса које реализују удружења, 2) пословника о раду комисија које спроводе јавне конкурсе у овој области, 3) одлука о расписивању јавних конкурса за сваки појединачни програм.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Правни оквир који регулише суфинансирање програмa од јавног интереса које реализују удружења треба да садржи најмање следеће: 1) начин утврђивања услова, критеријума и мерила за бодовање предлога пројеката, 2) обавезу јавног објављивања свих докумената који настају у току спровођења конкурса, 3) регулисање рада конкурсних комисија са посебним акцентом на управљање сукобом интереса, 4) начине вршења мониторинга, евалуације и финансијске контроле одобрених пројеката и програма.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Извршити анализу  постојећег правилника и у случају потребе покренути процедуру за измену и допуну прописа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Спроведена анализакојом је утврђено да ли је постојећи правни оквир потпун и по потреби иницирати измену прописа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пуну транспаретност процеса суфинансирања програмa од јавног интереса које реализују удружења.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Пуна транспарентност процеса се обезбеђује кроз објављивање свих докумената који настају у току спровођења конкурса, а нарочито докумената који настају у раду конкурсне комисије, јавност састанака конкурсне комисије и учешће заинтересованих представника јавности у њиховом раду - грађанских посматрача (без права одлучивања).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Увести праксу објављивања свих докумената који настају у току спровођења конкурса, докумената који настају у раду конкурсне комисије</w:t>
            </w:r>
            <w:r>
              <w:rPr>
                <w:rFonts w:ascii="Times New Roman" w:hAnsi="Times New Roman" w:cs="Times New Roman" w:eastAsia="Times New Roman"/>
                <w:color w:val="auto"/>
                <w:spacing w:val="0"/>
                <w:position w:val="0"/>
                <w:sz w:val="24"/>
                <w:shd w:fill="auto" w:val="clear"/>
              </w:rPr>
              <w:t xml:space="preserve">.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Код сваког будућег конкурса постоји пракса објављивања свих докумената који настају у току спровођења конкурса и докумената који настају у раду конкурсне комисије.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и Конкурсне комисије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Почев од усвајања ЛАП</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елементе управљања сукобом интереса чланова конкурсне комисије која спроводи конкурс за суфинансирање програмa од јавног интереса које реализују удружења.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Елементи управљања сукобом интереса подразумевају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Потписивање изјаве о непостојању приватног интереса у вези са учесницима конкурса;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одговорности за члана комисије за кога се утврди да је био у сукобу интереса;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Анализом постојећих прописаутврдити да ли су обухваћена сва битна питања за управљање сукобом интереса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Спрове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дена анализа, којом је утврђено да ли су обухваћена сва битна питања за управљање сукобом интереса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и ресорни Градски већници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Септембар 2019.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10.1.5</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обавезне елементе мониторинга, евалуације и финансијске контроле над програмима од јавног интереса које реализују удружења.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Интерним правним оквиром потребно је предвидети елементе мониторинга, евалуације и финансијске контроле над програмима од јавног интереса које реализују удружења, са обавезом објављања свих извештаја о резултатима мониторинга, евалуације и финансијске контроле на интернет презентацији ЈЛС.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Анализомпостојећих прописаутврдити да ли су предвиђени сви елементи мониторинга, евалуације и финансијске контроле над програмима од јавног интереса кое реализују удружења, као и објављивање тих налаза</w:t>
            </w:r>
          </w:p>
          <w:p>
            <w:pPr>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Спроведена анализакојом је утврђено да ли су предвиђени сви елементи мониторинга, евалуације и финансијске контроле над програмима од јавног интереса кое реализују удружења, као и објављивање тих налаза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и ресорни Градски већници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10.2. Повећање транспарентности, одговорности и контроле над процесом спровођења конкурса за суфинансирање пројеката у области јавног информисања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делотворне јавне политике на нивоу ЈЛС које обезбеђују пуну транспарентност, одговорност и контролу над процесом спровођења конкурса за суфинансирање пројеката у области јавног информисања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Постоји стратегија одрживог развоја, правилник за доделу средстава и правила сваког појединачног конкурса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Стратегија одрживог развоја , правилник и правила појединачних конкурса обезбеђују остваривање пуне транспарентности, одговорности и контроле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Дефинисати </w:t>
            </w:r>
            <w:r>
              <w:rPr>
                <w:rFonts w:ascii="Times New Roman" w:hAnsi="Times New Roman" w:cs="Times New Roman" w:eastAsia="Times New Roman"/>
                <w:i/>
                <w:color w:val="auto"/>
                <w:spacing w:val="0"/>
                <w:position w:val="0"/>
                <w:sz w:val="24"/>
                <w:shd w:fill="auto" w:val="clear"/>
              </w:rPr>
              <w:t xml:space="preserve">јавни интерес у области јавног информисања</w:t>
            </w:r>
            <w:r>
              <w:rPr>
                <w:rFonts w:ascii="Times New Roman" w:hAnsi="Times New Roman" w:cs="Times New Roman" w:eastAsia="Times New Roman"/>
                <w:color w:val="auto"/>
                <w:spacing w:val="0"/>
                <w:position w:val="0"/>
                <w:sz w:val="24"/>
                <w:shd w:fill="auto" w:val="clear"/>
              </w:rPr>
              <w:t xml:space="preserve"> који је у складу са специфичностима локалне заједнице.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ЈЛС би требало да у сваком појединачном јавном позиву ближе дефинише локално специфичан јавни интерес у области информисања, </w:t>
            </w:r>
            <w:r>
              <w:rPr>
                <w:rFonts w:ascii="Times New Roman" w:hAnsi="Times New Roman" w:cs="Times New Roman" w:eastAsia="Times New Roman"/>
                <w:i/>
                <w:color w:val="auto"/>
                <w:spacing w:val="0"/>
                <w:position w:val="0"/>
                <w:sz w:val="24"/>
                <w:shd w:fill="auto" w:val="clear"/>
              </w:rPr>
              <w:t xml:space="preserve">са обавезном оградом о томе да информисање о раду органа ЈЛС, према Закону, није део јавног интереса</w:t>
            </w:r>
            <w:r>
              <w:rPr>
                <w:rFonts w:ascii="Times New Roman" w:hAnsi="Times New Roman" w:cs="Times New Roman" w:eastAsia="Times New Roman"/>
                <w:color w:val="auto"/>
                <w:spacing w:val="0"/>
                <w:position w:val="0"/>
                <w:sz w:val="24"/>
                <w:shd w:fill="auto" w:val="clear"/>
              </w:rPr>
              <w:t xml:space="preserve">; полазна основа за дефинисање локалног специфичног јавног интереса у јавном информисању могу да буду стратешка и развојна документа ЈЛС.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Стратегијом одрживог развоја дефинисати јавни интерес у области јавног информисања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Годишње одредити у буџету средства за суфининасирање пројеката од јавног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Усвојена нова Стратегија одрживог развоја која садржи одредбе о јавном интересу у области јавног инвормисања.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Конкурси се организују сваке године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Града(формирање радне групе за израду Стратегије)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СГ (усвајање Стратегије)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30.6.2020.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 о суфинанисрању пројеката из области јавног инофрмисања из буџета Града, број 06-43/2017-04, донет 8.3.2017.</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детаљније и прецизније регулације процеса спровођења конкурса за суфинансирање пројеката у области јавног информисања.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у писаној форми, доношењем акта/обавезујућег упутства којим би се прописало избегавање до сада најчешће уочених злоупотреба и неправилности које су уочене. Другим речима, ова врста регулације треба да обезбеди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избегавање дискриминаторских услова у јавном конкурсу (на пример, конкурс не може бити ограничен само на један тип медија или само за медије на одређеној територији);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Забрану прописивања извештавања о раду ЈЛС и њених органа као део јавног интереса у информисању;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Ограничавање непропорционално велике разлике у износу средстава за медијске пројекте којим се очигледно фаворизују поједини медији;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Увођење обавезе надлежног органа да увек образложи одбацивање одлуке комисије о додели средстава.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Правилником онемогућити постављање дискриминаторских услова у јавном конкурсу по типу медија.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Пројекат не може да се односи само на извештавање о раду органа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 прописује обавезу надлежног органа да увек образложи евентуално одбацивање одлуке комисије о додели средстава</w:t>
            </w:r>
            <w:r>
              <w:rPr>
                <w:rFonts w:ascii="Times New Roman" w:hAnsi="Times New Roman" w:cs="Times New Roman" w:eastAsia="Times New Roman"/>
                <w:color w:val="auto"/>
                <w:spacing w:val="0"/>
                <w:position w:val="0"/>
                <w:sz w:val="24"/>
                <w:shd w:fill="auto" w:val="clear"/>
              </w:rPr>
              <w:t xml:space="preserve">.</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Прописаним Правилником се не дозвољавају дискриминаторски услови у јавном конкурсу по типу медија.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Пројекат не може да се односи само на извештавање о раду органа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прописана обавеза образлагањаевентуалног одбацивања одлуке конкурсне комисије.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Део мере који се односи на ограничавање непропорционално велике разлике у износу средстава за медијске пројекте не може се преузети из Модела, јер износ средстава за поједине пројекте зависи од већег проја чинилаца:</w:t>
            </w:r>
          </w:p>
          <w:p>
            <w:pPr>
              <w:suppressLineNumbers w:val="true"/>
              <w:suppressAutoHyphens w:val="true"/>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Висине средстава која се траже за реализацију,</w:t>
            </w:r>
          </w:p>
          <w:p>
            <w:pPr>
              <w:suppressLineNumbers w:val="true"/>
              <w:suppressAutoHyphens w:val="true"/>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оцена пројекта од стране Комисије, трошкови који су повезани  са врстом медија која конкурише или </w:t>
            </w:r>
          </w:p>
          <w:p>
            <w:pPr>
              <w:suppressLineNumbers w:val="true"/>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другим специфичностима.Поред тога, у досадашњој пракси није било сличних проблема.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пуну транспаретност конкурса за суфинансирање пројеката у области јавног информисања.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Пуна транспарентност процеса се обезбеђује кроз објављивање свих докумената који настају у току спровођења конкурса, а нарочито докумената који настају у раду конкурсне комисије, јавност састанака конкурсне комисије и учешће заинтересованих представника јавности у њиховом раду - грађанских посматрача (без права одлучивања) и слично; другим речима „јавност мора бити у потпуности упозната са токовима новца који се троши у медијском сектору, како би могла да доноси информисане одлуке у вези са избором медија путем којих се информише”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одредити објављивање свих докумената који настану у току конкурса.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одређено објављивање </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елементе управљања сукобом интереса чланова конкурсне комисије која спроводи конкурс за суфинансирање пројеката у области јавног информисања.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Елементи управљања сукобом интереса подразумевају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Потписивање изјаве о непостојању приватног интереса у вези са учесницима конкурса;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Прописивање одговорности за члана комисије за кога се утврди да је био у сукобу интереса;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Правилником предвидети елементе управљања сукобом интереса, који обухватају: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Потписивање изјаве о непостојању приватног интереса у вези са учесницима конкурса;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Прописивање одговорности за члана комисије за кога се утврди да је био у сукобу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Успостављање института поништавања одлука за које се утврди да су донете у околностима сукоба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Увођење одредбе да не може поново бити члан комисије за кога је доказано да је био у сукобу интереса а да није пријављен</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 који предвиђа елементе управљања сукобом интереса подразумевају најмање следеће: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Потписивање изјаве о непостојању приватног интереса у вези са учесницима конкурса;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Успостављен институт изузећа у случају постојања приватног интереса: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Прописана одговорност за члана комисије за кога се утврди да је био у сукобуинтереса;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Успостављен институт поништавања одлука за које се утврди да су донете у околностима сукоба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Уведена одредба да не може поново бити члан комисије за кога је доказано да је био у сукобу интереса а да није пријављен</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10.2.5</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обавезне елементе мониторинга, евалуације и финансијске контроле над пројектима у области јавног информисања који се финансирају из јавних извора.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Потребно је предвидети елементе мониторинга, евалуације и финансијске контроле над пројектима од јавног интереса у области информисања, са обавезом објављања свих извештаја о резултатима мониторинга, евалуације и финансијске контроле на интернет презентацији ЈЛС;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Осим тога, ЈЛС треба да захтевају копије свих медијских садржаја који се производи јавним новцем, као обавезан део документације (уз финансијске и наративне извештаје) којим се правда потрошен новац.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предвидети елементе мониторинга, евалуације и финансијске контроле над пројектима од јавног интереса у области информисања, саобавезом објављивања свих извештаја о резултатима мониторинга, евалуације и финансијске контроле на интернету</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Правилником предвиђени елементе мониторинга, евалуације и финансијске контроле над пројектима од јавног интереса у областиинформисања, са обавезом објављивања свих извештаја о резултатима мониторинга, евалуације и финансијске контроле на интернету</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Напомена: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Финансијски прати Одсек за финансије и буџети пореске послове,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Општинском већу се подноси и наративни и финасијски извештај</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Значење формулације „елементи мониторинга и евалуације“ ближе одредити након округлог стола са новинарским и медијским удружењима.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860"/>
      </w:tblGrid>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592"/>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11: Инспекцијски надзор</w:t>
            </w:r>
          </w:p>
        </w:tc>
      </w:tr>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Имајући у виду карактер и обим овлашћења којима располажу јавни службеници задужени за инспекцијски надзор, а у циљу адекватног остваривања и заштите јавног интереса (на пример, интереса у области здравља и безбедности грађана), спречавање корупције и злоупотреба у вези са коришћењем датих овлашћења има нарочит значај у процесу вршења инспекцијског надзора. То је, између осталог, препознато и приликом израде полазних основа за усвајање актуелног Закона о инспекцијском надзору који је усвојен 2015. године. Уколико би ова важна надлежност државне управе била подложна различитим коруптивним ризицима, могућа штета бидонела озбиљне последице по јавни интерес, живот, здравље, безбедност и остваривање права грађана. Коруптивни утицај у вршењу инспекцијског надзора настаје, пре свега, услед контакта између лица која врше надзор и надзираних субјеката, односно услед утицаја који на службенике могу даврше они над којима се врши надзор, а што је као проблем констатовано и у резултатима различитих истраживања.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Према Закону о инспекцијском надзору (“Службени гласник РС”, бр. 36/15, 44/18 и 95/18), ЈЛС су добиле значајне надлежности у области инспекцијског надзора и то како у изворним надлежностима, тако и у надлежностима које су јој пренете са централног или покрајинског нивоа власти. Локалној самоуправи су дата овлашћења да самостално регулише поједина питања у области инспекцијског надзора, што уз описане ризике од корупције ствара потребу да се ова област нађе и у локалном антикорупцијском плану. У вези са тим, нарочито су важна два поља ове надлежности: 1) процена ризика и план инспекцијског надзора и 2) координација и унутрашња контрола инспекцијског надзора које је неопходно успоставити на нивоу ЈЛС.</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11.2.1., 11.2.2. из Модела ЛАП изостављене су зато што су уређене и реализоване другим документима и прописима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11.1. Смањење дискреционих овлашћења и већа транспарентност у поступању инспекцијских служби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Усвојени интерни акти/упутства/процедуре на нивоу ЈЛС које прописују обавезе ЈЛС да врше процену ризика и учесталост вршења инспекцијског надзора на основу процене ризика из своје изворне надлежности, као и обавезе да врше процену посебних ризика, који су специфични за сваку локалну заједницу;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Јавно доступни сви елементи дефинисани у претходном индикатору.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Постоје акти чије је доношење прописано као обавеза на основу Закона о инспекцијском надзору</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Поред аката чије је објављивање обавезно, објављују се и елементи процене ризика.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Измењен је акт који се односи на специфичне локалне ризике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посебне елементе процене ризика и учесталост вршења инспекцијског надзора на основу процене ризика из изворне надлежности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Интерним актом/упутством детаљније регулисана ова законска обавеза, односно одређен начин/форма у којој се прописују посебни елементи процене ризика, учесталост вршења инспекцијског надзора и плана надзора из изворних надлежности.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Анализирати усклађеност локалних аката о инспекцијском надзору са изменама у Закону о инспекцијском надзору</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Извршена анализа усклађености аката о инспекцијском надзору са изменама у Закону о инспекцијском надзору</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Градска управа Одељење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инспекцијске послове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30.10.2019.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потребна додатна средства</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обавезу усвајања процедуре за процену посебних ризика који су специфични за сваку локалну заједницу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Интерним актом/упутством одређена процедура која треба да садржи изворе информација о локално специфичним ризицима за сваку област у којој се врши инспекцијски надзор, процену утицаја ризика на стање у областима и процену потребе за надзором у складу са ризицима.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Изменама Правилника о инспекцијском надзору дефинисати ризике који су специфични за Град Врање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Измењен Правилник о инспекцијском надзору дефинисани су ризици који су специфични за Град Врање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Градска управа Одељење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инспекцијске послове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 </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1.10.2019.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31.12.2019.</w:t>
            </w: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Објављивати посебне елементе процене ризика и учесталост вршења инспекцијског надзора на основу процене ризика из изворне надлежности, као и процедуру за процену посебних ризика који су специфични за сваку локалну заједницу</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Елементи описани у мери објављени на интернет презентацији ЈЛС;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Успостављена обавеза редовног ажурирања објављених података.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Успостављање праксе објављивања посебних елемената процене ризика из изворне надлежности као и процедуре за процену ризика који су специфични за локалну заједницу</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Успостављена пракса објављивања посебних елемената процене ризика из изворне надлежности као и процедуре за процену ризика који су специфични за локалну заједницу</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Градска управа Одељење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инспекцијске послове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Одсек за информисање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1.10.2019.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1.11.2019.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31.12.2019.</w:t>
            </w: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 спровођење ове мере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Тренутно се објављују годишњи оперативни планови, тако да се види учесталост вршења инспекцијског надзора.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Потребно је обезбедити објављивање елемената процене ризика.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11.2. Унапређење система координације и унутрашње контроле инспекцијских служби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Усвојени акти којима се успоставља/унапређује систем координације и унутрашње контроле инспекцијских служби</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Постојећи акти о систематизацији радних места и о раду инспекцијских служби у потпуности обезбеђују координацију и унутрашњу контролу инспекцијских служби.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постоји план унутрашње контроле</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 о систематизацији радних места и о раду инспекцијских служби у потпуности обезбеђују координацију и унутрашњу контролу инспекцијских служби</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Донет план унутрашње контроле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11.2.3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облике, учесталост и начин вршења унутрашње контроле инспекције из изворне надлежности ЈЛС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Одлуком одредити јасне и прецизне организационе претпоставке и процедуре за вршење контроле и начине поступања у случајевима у којима су утврђене неправилности у раду инспекцијских служби.</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Утврдити план унутрашње контроле рада инспекцијске службе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Утврђен план унутрашње контроле рада инспекцијске службе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Руководилац Одељења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 инспекцијске послове</w:t>
            </w: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860"/>
      </w:tblGrid>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635"/>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12: Просторно и урбанистичко планирање и изградња</w:t>
            </w:r>
          </w:p>
        </w:tc>
      </w:tr>
      <w:tr>
        <w:trPr>
          <w:trHeight w:val="1" w:hRule="atLeast"/>
          <w:jc w:val="left"/>
        </w:trPr>
        <w:tc>
          <w:tcPr>
            <w:tcW w:w="1386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У бројним истраживањима и анализама праксе, област просторног и урбанистичког планирања и изградње спада међу најризичније процесе са становишта настанка корупције. Ова област се као посебна целина нашла и у Националној стратегији за борбу против корупције, што је требало да отклони коруптивне ризике уграђене у важећу регулативу, као и да  побољша праксуњене примене. Комплементарно стратешком и законском нивоу, неопходно је интерно регулисање процеса у овој области, како би се на свим нивоима ) спречиле неправилности и злоупотребе. До тих неправилности углавном  долази у случајевима када у остваривању права и обавеза корисници услуга у овој области долазе у контакт са службеницима. Органи локалне самоуправе су инстанца у којој долази до ове врсте интеракције, јер се на том нивоу оперативно спроводе надлежности у области урбанизма и грађевинских послова. То је ниво на ком се примењују закони у овој области и на ком се одлучује о појединачним захтевима, односно случајевима. Осим тога, коруптивни ризици у овој области на локалном нивоу могу настати и онда када надлежне локалне службе и институције усвајају и примењују своја просторно-планска документа, чиме саме одређују локално специфичан оквир у ком се примењују опште законске одредбе о планирању. Управо одређивање тог оквира подложно је одређеним и не малим дискреционим овлашћењима, која су очекивана и неопходна, али која уколико се не контролишу и не ограничавају, могу нарушити јавни интерес на штету различитих приватних интереса.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Изменама и допунама Закона о планирању и изградњи из децембра 2014. године (“Службени гласник РС”, бр. 72/09, 81/09 - испр., 64/10 - одлука УС, 24/11, 121/12, 42/13 - одлука УС, 50/13 - одлука УС, 98/13 - одлука УС, 132/14 и 145/14) обухваћено је више значајних питања која садрже ризике за настанак корупције, као што су: обједињена процедура; рани јавни увид; урбанистички пројекат; посебни случајеви формирања грађевинске парцеле; допринос за уређивање грађевинског земљишта, као и рад Комисије за технички преглед објекта. Ова питања, односно начини за њихово регулисање део су Модела ЛАП-а, односно требало би да буду и део сваког појединачног ЛАП-а у складу са потребама и досадашњим учинцима ЈЛС у овој области. Овај закон је мењан и након доношења Модела ЛАП, (СГ РС 83/18).</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Напомена: Мера број 12.1.4. из Модела ЛАП изостављена је зато што је уређена и реализована другим документима и прописима.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Мера број 12.1.5. је додата на постојећи Модел Агенције.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12.1. Отклањање ризика корупције у раду комисија и других органа ЈЛС који су надлежни у области просторног и урбанистичког планирања и изградње</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Усвајање/унапређење постојећих интерних прцедура и правила  рада комисија и других органа ЈЛС који су надлежни у области просторног и урбанистичког планирања и изградње</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Поред републичких прописа, поједина питања су уређена Пословником о раду комисије за планове</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основу разматрања потребе, унапређен Пословник Комисије за планове и усвојени други акти</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и правила поступања са примедбама које надлежна комисија добије у току раног јавног увида о изради просторног, односно урбанистичког плана.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Усвојене интерне процедуре којима би се уредио начин рада надлежне комисије и начин поступања са примедбама које пристигну у току јавног увида; </w:t>
            </w:r>
          </w:p>
          <w:p>
            <w:pPr>
              <w:suppressLineNumbers w:val="true"/>
              <w:suppressAutoHyphens w:val="true"/>
              <w:spacing w:before="0" w:after="0" w:line="240"/>
              <w:ind w:right="0" w:left="0" w:firstLine="0"/>
              <w:jc w:val="left"/>
              <w:rPr>
                <w:color w:val="auto"/>
                <w:spacing w:val="0"/>
                <w:position w:val="0"/>
                <w:shd w:fill="auto" w:val="clear"/>
              </w:rPr>
            </w:pP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Изменити Пословник о раду Комисије за планове у којем ће се прецизирати правила у складу са подзаконским актом који утвђује област планске документације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Усвојене измене и допуне Пословника о раду Комисији за планове у којем су прецизиранаправила у складу са подзаконским актом који утвђује област планске документације</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Комисија за планове </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Након ступања на снагу подзаконског акта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Унапредити транспарентност рада надлежне комисије у току раног јавног увида.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Јавно објављене све пристигле примедбе и исходи поступања комисије или других органа ЈЛС по тим примедбама.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Објављивање извештаја о обављеном раном  јавном увиду на интернет страници као и могућност праћења процедуре израде планског документа и доступност свих аката који су донети на сајту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Формирање локалног информационог система планских докумената.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Објављено на сајту Града и периодично ажурирање.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Одељење за урбанизам.</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Инфо служба.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 </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Детаљније прописати процедуре одлучивања надлежног органа ЈЛС о потврђивању или одбијању урбанистичког пројекта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Усвојени додатни критеријуми, процедура одлучивања и пракса образлагања надлежног органа ЈЛС приликом одбијања или одобрења урбанистичког пројекта за који надлежна комисија поднесе извештај са предлогом о прихватању или одбијању урбанистичког пројекта.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Увести праксу давања образложења при потврђивању или одбијању урбанистичких пројеката кад се одлука органа разликује од предлога Комисије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Пракса уведена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урбанизам</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Почев од усвајања ЛАП-а</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Примена Закона о планирању и изградњи и подзаконских аката, члан 63</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12.1.5</w:t>
            </w:r>
          </w:p>
        </w:tc>
        <w:tc>
          <w:tcPr>
            <w:tcW w:w="1583"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порцедуру доношења и измена просторних и урбанистичких планова на начин да се повеће учешће грађана</w:t>
            </w:r>
          </w:p>
        </w:tc>
        <w:tc>
          <w:tcPr>
            <w:tcW w:w="2366"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Прописана пороцедура која одређује субјекте и критеријуме за покретање поступка за доношење и измену просторних и урбанистичких планова </w:t>
            </w:r>
          </w:p>
        </w:tc>
        <w:tc>
          <w:tcPr>
            <w:tcW w:w="1889"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одлуку која  одређује субјекте и критеријуме за покретање поступка за доношење и измену Просторних и Урбанистичких планова, минимун критеријума који су основ за измену одлуке, као и медијско извештавање грађана о процедури која је покренута, фази у којој се налази, као и о предлозима који су садржани у том планском документу.</w:t>
            </w:r>
          </w:p>
        </w:tc>
        <w:tc>
          <w:tcPr>
            <w:tcW w:w="1549"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Усвојена одлука која која одређује субјекте и критеријуме за покретање поступка за доношење и измену Просторних и Урбанистичких планова, минимун критеријума који су основ за измену одлуке, као и медијско извештавање грађана о процедури која је покренута, фази у којој се налази, као и о предлозима који су садржани у том планском документу.</w:t>
            </w:r>
          </w:p>
        </w:tc>
        <w:tc>
          <w:tcPr>
            <w:tcW w:w="1691"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Одељење за урбанизам</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15.8.2020.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1.9.2020.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30.9.2020.</w:t>
            </w:r>
          </w:p>
        </w:tc>
        <w:tc>
          <w:tcPr>
            <w:tcW w:w="1806" w:type="dxa"/>
            <w:tcBorders>
              <w:top w:val="single" w:color="000000" w:sz="4"/>
              <w:left w:val="single" w:color="000000" w:sz="4"/>
              <w:bottom w:val="single" w:color="000000" w:sz="4"/>
              <w:right w:val="single" w:color="000000" w:sz="0"/>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auto" w:fill="auto"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Ова активност је додата у односу на Модел Агенције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029"/>
      </w:tblGrid>
      <w:tr>
        <w:trPr>
          <w:trHeight w:val="1" w:hRule="atLeast"/>
          <w:jc w:val="left"/>
        </w:trPr>
        <w:tc>
          <w:tcPr>
            <w:tcW w:w="1386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12.2. Смањена дискрециона овлашћења ЈЛС у процесу одређивања додатних погодности за плаћање доприноса за </w:t>
            </w:r>
            <w:r>
              <w:rPr>
                <w:rFonts w:ascii="Times New Roman" w:hAnsi="Times New Roman" w:cs="Times New Roman" w:eastAsia="Times New Roman"/>
                <w:b/>
                <w:i/>
                <w:color w:val="auto"/>
                <w:spacing w:val="0"/>
                <w:position w:val="0"/>
                <w:sz w:val="24"/>
                <w:shd w:fill="auto" w:val="clear"/>
              </w:rPr>
              <w:t xml:space="preserve">објекте од посебног значаја за развој јединице локалне самоуправе</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акт којим ће бити прописани критеријуми за давање </w:t>
            </w:r>
            <w:r>
              <w:rPr>
                <w:rFonts w:ascii="Times New Roman" w:hAnsi="Times New Roman" w:cs="Times New Roman" w:eastAsia="Times New Roman"/>
                <w:i/>
                <w:color w:val="auto"/>
                <w:spacing w:val="0"/>
                <w:position w:val="0"/>
                <w:sz w:val="24"/>
                <w:shd w:fill="auto" w:val="clear"/>
              </w:rPr>
              <w:t xml:space="preserve">статуса објекта од посебног значаја за развој ЈЛС</w:t>
            </w:r>
            <w:r>
              <w:rPr>
                <w:rFonts w:ascii="Times New Roman" w:hAnsi="Times New Roman" w:cs="Times New Roman" w:eastAsia="Times New Roman"/>
                <w:color w:val="auto"/>
                <w:spacing w:val="0"/>
                <w:position w:val="0"/>
                <w:sz w:val="24"/>
                <w:shd w:fill="auto" w:val="clear"/>
              </w:rPr>
              <w:t xml:space="preserve">, као и процедура за одлучивање о овом питању.</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Питања су делимично уређена Одлуком о утврђивању доприноса за уређивање грађевинског земљишта</w:t>
            </w:r>
          </w:p>
        </w:tc>
        <w:tc>
          <w:tcPr>
            <w:tcW w:w="414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 складу са анализом, допуњена Одлука о утврђивању доприноса за уређивање грађевинског земљишта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давање статуса </w:t>
            </w:r>
            <w:r>
              <w:rPr>
                <w:rFonts w:ascii="Times New Roman" w:hAnsi="Times New Roman" w:cs="Times New Roman" w:eastAsia="Times New Roman"/>
                <w:i/>
                <w:color w:val="auto"/>
                <w:spacing w:val="0"/>
                <w:position w:val="0"/>
                <w:sz w:val="24"/>
                <w:shd w:fill="auto" w:val="clear"/>
              </w:rPr>
              <w:t xml:space="preserve">објекта од посебног значаја за развој ЈЛС</w:t>
            </w:r>
            <w:r>
              <w:rPr>
                <w:rFonts w:ascii="Times New Roman" w:hAnsi="Times New Roman" w:cs="Times New Roman" w:eastAsia="Times New Roman"/>
                <w:color w:val="auto"/>
                <w:spacing w:val="0"/>
                <w:position w:val="0"/>
                <w:sz w:val="24"/>
                <w:shd w:fill="auto" w:val="clear"/>
              </w:rPr>
              <w:t xml:space="preserve">.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акт који дефинише услове и критеријуме за давање статуса </w:t>
            </w:r>
            <w:r>
              <w:rPr>
                <w:rFonts w:ascii="Times New Roman" w:hAnsi="Times New Roman" w:cs="Times New Roman" w:eastAsia="Times New Roman"/>
                <w:i/>
                <w:color w:val="auto"/>
                <w:spacing w:val="0"/>
                <w:position w:val="0"/>
                <w:sz w:val="24"/>
                <w:shd w:fill="auto" w:val="clear"/>
              </w:rPr>
              <w:t xml:space="preserve">објекта од посебног значаја за развој ЈЛС</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измене и допуне Одлуке о утврђивању доприноса за уређивање грађевинског земљишта и закупнине за закуп грађевинског земљишта у јавној својини на основу чега ће се дефинисати критеријуми за давање статуса објекта од посебног значаја за развој Града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Усвојене измене и допуне Одлуке о утврђивању доприноса за уређивање грађевинског земљишта и закупнине за закуп грађевинског земљишта у јавној својинина основу чега ће се дефинисати критеријуми за давање статуса објекта од посебног значаја за развој Града</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Скупштина Града Врања, Градско веће,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буџет и финансије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После усвајања дугорочне стратегије развоја Града Врања(оквирно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12.2.2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процедуру одлучивања о давању статуса </w:t>
            </w:r>
            <w:r>
              <w:rPr>
                <w:rFonts w:ascii="Times New Roman" w:hAnsi="Times New Roman" w:cs="Times New Roman" w:eastAsia="Times New Roman"/>
                <w:i/>
                <w:color w:val="auto"/>
                <w:spacing w:val="0"/>
                <w:position w:val="0"/>
                <w:sz w:val="24"/>
                <w:shd w:fill="auto" w:val="clear"/>
              </w:rPr>
              <w:t xml:space="preserve">објекта од посебног значаја за развој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акт који дефинише процедуру одлучивања о давању статуса </w:t>
            </w:r>
            <w:r>
              <w:rPr>
                <w:rFonts w:ascii="Times New Roman" w:hAnsi="Times New Roman" w:cs="Times New Roman" w:eastAsia="Times New Roman"/>
                <w:i/>
                <w:color w:val="auto"/>
                <w:spacing w:val="0"/>
                <w:position w:val="0"/>
                <w:sz w:val="24"/>
                <w:shd w:fill="auto" w:val="clear"/>
              </w:rPr>
              <w:t xml:space="preserve">објекта од посебног значаја за развој ЈЛС</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акт који дефинише процедуру одлучивања о давању статуса објекта од посебног значаја за развој ЈЛС</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 који дефинише процедуру одлучивања о давању статуса објекта од посебног значаја за развој ЈЛС</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 Врања, 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После усвајања дугорочне стратегије развоја Града Врања (оквирно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12.2.3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Прописати услове и критеријуме за одређивање додатних погодности за плаћање доприноса за </w:t>
            </w:r>
            <w:r>
              <w:rPr>
                <w:rFonts w:ascii="Times New Roman" w:hAnsi="Times New Roman" w:cs="Times New Roman" w:eastAsia="Times New Roman"/>
                <w:i/>
                <w:color w:val="auto"/>
                <w:spacing w:val="0"/>
                <w:position w:val="0"/>
                <w:sz w:val="24"/>
                <w:shd w:fill="auto" w:val="clear"/>
              </w:rPr>
              <w:t xml:space="preserve">објекте од посебног значаја за развој ЈЛС</w:t>
            </w:r>
            <w:r>
              <w:rPr>
                <w:rFonts w:ascii="Times New Roman" w:hAnsi="Times New Roman" w:cs="Times New Roman" w:eastAsia="Times New Roman"/>
                <w:color w:val="auto"/>
                <w:spacing w:val="0"/>
                <w:position w:val="0"/>
                <w:sz w:val="24"/>
                <w:shd w:fill="auto" w:val="clear"/>
              </w:rPr>
              <w:t xml:space="preserve">, као и за умањење износа доприноса за објекте станоградње.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 акт који прописује услове и критеријуме за одређивање додатних погодности за плаћање доприноса за </w:t>
            </w:r>
            <w:r>
              <w:rPr>
                <w:rFonts w:ascii="Times New Roman" w:hAnsi="Times New Roman" w:cs="Times New Roman" w:eastAsia="Times New Roman"/>
                <w:i/>
                <w:color w:val="auto"/>
                <w:spacing w:val="0"/>
                <w:position w:val="0"/>
                <w:sz w:val="24"/>
                <w:shd w:fill="auto" w:val="clear"/>
              </w:rPr>
              <w:t xml:space="preserve">објекте од посебног значаја за развој ЈЛС</w:t>
            </w:r>
            <w:r>
              <w:rPr>
                <w:rFonts w:ascii="Times New Roman" w:hAnsi="Times New Roman" w:cs="Times New Roman" w:eastAsia="Times New Roman"/>
                <w:color w:val="auto"/>
                <w:spacing w:val="0"/>
                <w:position w:val="0"/>
                <w:sz w:val="24"/>
                <w:shd w:fill="auto" w:val="clear"/>
              </w:rPr>
              <w:t xml:space="preserve">, као и за умањење износа доприноса за објекте станоградње.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измене и допуне Одлуке о утврђивању доприноса за уређивање грађевинског земљишта при чему се дефинисати критеријуми за одређивање додатних погодности за плаћање доприноса за објекте од посебног значаја за развој</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Усвојене измене и допуне Одлуке о утврђивању доприноса за уређивање грађевинског земљишта при чему се дефинисати критеријуми за одређивање додатних погодности за плаћање доприноса за објекте од посебног значаја за развој Града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 Врања, 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После усвајања дугорочне стратегије развоја Града Врања (оквирно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02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770"/>
      </w:tblGrid>
      <w:tr>
        <w:trPr>
          <w:trHeight w:val="1" w:hRule="atLeast"/>
          <w:jc w:val="left"/>
        </w:trPr>
        <w:tc>
          <w:tcPr>
            <w:tcW w:w="1377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688"/>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13: Формирање радних тела на нивоу јединица локалне самоуправе</w:t>
            </w:r>
          </w:p>
        </w:tc>
      </w:tr>
      <w:tr>
        <w:trPr>
          <w:trHeight w:val="1" w:hRule="atLeast"/>
          <w:jc w:val="left"/>
        </w:trPr>
        <w:tc>
          <w:tcPr>
            <w:tcW w:w="1377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Чланом 36. Закона о локалној самоуправи предвиђено је да скупштина ЈЛС оснива стална или повремена радна тела за разматрање питања из њене надлежности, давање мишљења на предлоге прописа и одлука које доноси, као и за обављање других послова утврђених статутом. С друге стране, Закон прописује да се питања броја, избора, као и права и дужности председника и чланова ових тела утврђују Статутом ЈЛС. Иако нормативни оквир и пракса не указују нужно на постојање неког од облика корупције у процесу формирања и рада радних тела, начин на који је ова област регулисана, као и подаци и анализе праксе у овој области указују на значајан степен нетранспарентности, велика дискрециона овлашћења оснивача радних тела и самих радних тела, као и на потенцијалну неефикасност и несврсисходност у трошењу јавних ресурса. На пример, постојећи нормативни оквир не предвиђа формирање регистра, односно јединствене евиденције на нивоу било ког органа јавне власти, па ни на нивоу ЈЛС, а у којој би се налазили подаци о формирању, укупном броју и утрошеним средствима за рад сталних и повремених радних тела, као и о резултатима њиховог рада и постигнутим циљевима. Управо због заштите јавног интереса, који може бити нарушен постојећим начином на који се у пракси одвија формирање, функционисање и финансирање радних тела, ова област на нивоу локалне самоуправе може значајно бити унапређена кроз усвајање и примену локалног антикорупцијског плана, нарочито у следећим идентификованим проблемима: одусуства јединствене евиденције о формирању, укупном броју и утрошеним средствима за рад сталних и повремених радних тела, одсуства јасно постављених циљева, задатака и рокова, непостојања или неадекватног правног основа за формирање радних тела, одсуства јасних услова и критеријума за избор чланова радног тела и њиховог броја, регулисања права на накнаду и нејасног односа између радних тела и редовних послова других органа и служби ЈЛС.</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 Мере број 13.1.1., 13.1.2., 13.1.3., 13.1.4, 13.1.5., из Модела ЛАП изостављене су зато што су уређене и реализована другим документима и прописима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939"/>
      </w:tblGrid>
      <w:tr>
        <w:trPr>
          <w:trHeight w:val="1" w:hRule="atLeast"/>
          <w:jc w:val="left"/>
        </w:trPr>
        <w:tc>
          <w:tcPr>
            <w:tcW w:w="1377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13.1. Успостављен систем одговорности и контроле у процесу формирања и рада радних тела на нивоу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којима се успоставља систем одговорности и контроле у процесу формирања и рада радних тела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Питања формирања и рада радних тела су уређена Статутом и Пословником Скупштине,  све битне области су покривене</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Утврђено је да ли поред одредаба Статута и Пословника Скупштине Града, треба додатно уредити питање формирања и рада радних група, у складу са индикатором испуњености мере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939"/>
      </w:tblGrid>
      <w:tr>
        <w:trPr>
          <w:trHeight w:val="1" w:hRule="atLeast"/>
          <w:jc w:val="left"/>
        </w:trPr>
        <w:tc>
          <w:tcPr>
            <w:tcW w:w="1377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13.2. Повећана транспарентност у процесу формирања и рада радних тела на нивоу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јавно доступан регистар са подацима о свим радним телима на нивоу ЈЛС</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постоји устаљена пракса објављивања информација о радним телима, већ се то чини спорадично</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Информације о свим радним телима које формирају органи Града објављују се на веб-презентацији </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потпуну доступност информација о свим радним телима на нивоу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Сачињен и на интернет презентацији ЈЛС објављен регистар који садржи следеће информације: број, назив и састав свих радних тела; правни основ за њихово формирање, мандат који је поверен радним телима, циљеве, активности, рокове, висину накнаде коју чланови радних тела добијају и друге податке.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Објављивање Пословника на сајту Градакоји садржи информације о радним телима које формира Скупштина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Формирати подстраницу на веб – презентацији, на којој ће бити следеће информације:број, назив и састав свих радних тела; правни основ за њихово формирање, мандат који је поверен радним телима, циљеве, активности, рокове, висину накнаде коју чланови радних тела добијају и друге податке.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Објављен Пословник на сајту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Формирана страница и редовно се ажурира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31.12.2019.</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израда новог сајта)</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процесу је израда нове веб презентације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770"/>
      </w:tblGrid>
      <w:tr>
        <w:trPr>
          <w:trHeight w:val="1" w:hRule="atLeast"/>
          <w:jc w:val="left"/>
        </w:trPr>
        <w:tc>
          <w:tcPr>
            <w:tcW w:w="1377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keepNext w:val="true"/>
              <w:numPr>
                <w:ilvl w:val="0"/>
                <w:numId w:val="722"/>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14: Јавне набавке</w:t>
            </w:r>
          </w:p>
        </w:tc>
      </w:tr>
      <w:tr>
        <w:trPr>
          <w:trHeight w:val="1" w:hRule="atLeast"/>
          <w:jc w:val="left"/>
        </w:trPr>
        <w:tc>
          <w:tcPr>
            <w:tcW w:w="13770"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Јавне набавке се, према својој природи, перманентно налазе у фокусу различитих антикорупцијских јавних политика, не само у Србији. Усвајањем Закона о јавним набавкама из 2012. године, са неколико каснијих измена и допуна (“Службени гласник РС”, бр. 124/12, 14/15 i 68/15), Стратегије развоја јавних набавки у Републици Србији за период од 2014. до 2018. године и Акционог плана за њено спровођење, учињено је доста помака у правцу спречавања корупције у овој области. Ипак, досадашња примена Закона већ је захтевала одређене измене и допуне, а показала је и да је на институционалном нивоу могуће и потребно додатно унапредити примену позитивних прописа. Агенција је то утврдила, између осталог, посетама институцијама у току контроле планова интегритета, у којима јавне набавке чине једну од заједничких области за цео јавни сектор. У току је поступак доношења новог Закона о јавним набавкама, које се очекује средином 2019.</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Сузбијање корупције и неправилности у поступцима јавних набавки често се налази у колизији са мање или више оправданим захтевима за ефикасношћу поступака, односно са повећањем брзине којом се за потребе јавног сектора и његовог адекватног функционисања набављају добра и услуге. Осим тога, захтев за обезбеђивањем потребне конкуретности на тржишту такође је у појединим аспектима у колизији са антикорупцијским политикама и мерама, иако на први поглед то треба да буду међусобно компатибилни захтеви. Већа конкуренција подразумева већу међусобну контролу између понуђача, а тиме и смањење потенцијалних коруптивних утицаја на наручиоце. То, међутим, често није случај, јер се у областима у којима постоји оштрија конкуренција, а слаба отпорност система на коруптивне утицаје, експоненцијално повећавају и интензитет и форме утицаја понуђача на наручиоце да баш они добију уговор за одређену јавну набавку. Измене и допуне ЗЈН из 2015. године су повећале ефикасност и конкурентност, али су истовремено отвориле нови и додатни простор за коруптивне утицаје. Однос између различитих захтева и очекивања од поступака јавних набавки, који су некада међусобно ограничавајући, не може једном и унапред бити дат као коначан, већ представља стално тражење оптималне мере у којој ће ти захтеви бити адекватно и оправдано заступљени, а све то у најбољем јавном интересу. Управо у томе лежи важност интерног регулисања ових поступака у свакој појединачној институцији, па и на нивоу ЈЛС. Док Закон даје оквир који је општи и заједнички за цео јавни сектор, сваки појединачни руководилац који сматра да треба да ојача антикорупцијски аспект поступака јавних набавки, може различитим механизмима </w:t>
            </w:r>
            <w:r>
              <w:rPr>
                <w:rFonts w:ascii="Times New Roman" w:hAnsi="Times New Roman" w:cs="Times New Roman" w:eastAsia="Times New Roman"/>
                <w:i/>
                <w:color w:val="auto"/>
                <w:spacing w:val="0"/>
                <w:position w:val="0"/>
                <w:sz w:val="24"/>
                <w:shd w:fill="auto" w:val="clear"/>
              </w:rPr>
              <w:t xml:space="preserve">доброг управљања</w:t>
            </w:r>
            <w:r>
              <w:rPr>
                <w:rFonts w:ascii="Times New Roman" w:hAnsi="Times New Roman" w:cs="Times New Roman" w:eastAsia="Times New Roman"/>
                <w:color w:val="auto"/>
                <w:spacing w:val="0"/>
                <w:position w:val="0"/>
                <w:sz w:val="24"/>
                <w:shd w:fill="auto" w:val="clear"/>
              </w:rPr>
              <w:t xml:space="preserve"> то и да учини. Када је реч о органима ЈЛС, ови механизми могу бити уграђени управо у локални антикорупцијски план.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 Моделу ЛАП-а је посвећена пажња следећим ризицима: спровођењу мешовитих јавних набавки и јавних набавки мале вредности, питању покретања поступка јавних набавки из разлога хитности, доказивању испуњености услова за учешће у јавној набавци, и транспарентности поступка јавних набавки. Осим тога, свака ЈЛС је позвана да у овој области дода и друге циљеве и мере до којих је дошла на основу своје праксе и проблема у спровођењу јавних набавки.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939"/>
      </w:tblGrid>
      <w:tr>
        <w:trPr>
          <w:trHeight w:val="1" w:hRule="atLeast"/>
          <w:jc w:val="left"/>
        </w:trPr>
        <w:tc>
          <w:tcPr>
            <w:tcW w:w="1377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14.1: Смањење и контрола дискреционих овлашћења приликом доношења одлука о типу јавних набавки које ће бити расписан</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измене и допуне интерних аката у области јавних набавки у правцу детаљнијег регулисања спровођења мешовитих јавних набавки, јавних набавки мале вредности и јавних набавки расписаних из разлога хитности</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Спровођење ових врста набавки је делимично уређено Правилником наручиоца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 допуњен на основу одредаба новог ЗЈН и налаза анализе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додатног образложења околности, потребе и оправданости за спровођење мешовитих јавних набавки.</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кроз измене и допуне интерног правног оквира у области јавних набавки којим би се прописало да се за случајеве расписивања мешовитих јавних набавки израђују посебна образложења околности, потреба и оправданости.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Израдити анализу потребе за уређење мешовитих јавних набавки унутар Правилника о ближем уређивању поступка јавне набавке након доношења новог Закона о јавним набавкама.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Израђена анализа потребе за уређење мешовитих јавних набавки унутар Правилника о ближем уређивању поступка јавне набавке након доношења новог Закона о јавним набавкама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31.3.2020.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Сачекати доношење новог закона, и ускладити са роковима за измену интерног акта на основу новог закона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да се у случају јавних набавки мале вредности (вредности мање од 500.000 динара) позив за достављање понуде упућује најмање једном понуђачу који врши делатност која је предмет јавне набавке, а да уколико то није могуће, обавезно постоји образложење такве одлуке.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кроз измене и допуне интерног правног оквира у области јавних набавки којим би се прописало да се случају јавних набавки мале вредности позив за достављање понуде упућује најмање једном понуђачу који врши делатност која је предмет јавне набавке, а да уколико то није могуће, обавезно постоји образложење такве одлуке. На тај начин се из процеса елиминише „лично уверење“ овлашћеног лица да они којима се упућује позив за достављање понуде могу да спроведу јавну набавку, без обзира на делатност којом се баве.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Разматрање потребе за усвајањем критеријумаи по потребипрецизирати Правилник о ближем уређивању поступка јавне набавке, члан 53, тако да се одреди да се позив упућује понуђачима који врше делатност која је предмет јавне набавке </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Размотрена потреба ипрецизиран Правилник о ближем уређивању поступка јавне набавке, тако да је одређено да се позив упућује понуђачима који врше делатност која је предмет јавне набавке. </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31.3.2020. </w:t>
            </w: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Сачекати нови закон</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Упоставити обавезу дефинисања разлога хитности.</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кроз измене и допуне интерног правног оквира у области јавних набавки којим би се у случајевима у којима је то могуће, одредио појам хитности (на пример, у односу на случајеве оних јавних набавки које су до сада у ЈЛС најчешће расписиване као хитне).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Израдити анализу потребе за успостављање обавезедефинисања разлога хитности унутар Правилника о ближем уређивању поступка јавне набавке након доношења новог Закона о јавним набавкама.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Израђена анализа потребе за успостављање обавеза дефинисања разлога хитности унутар Правилника о ближем уређивању поступка јавне набавке након доношења новог Закона о ј.набавкама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31.3.2020. </w:t>
            </w: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Сачекати нови закон</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Анализирати разлоге због којих је настајала потреба за хитним набавкама у досадашњим јавним набавкама и разнотрити да ли их је било могуће предвидети</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дефинисања „других одговарајућих начина доказивања који може обухватити и техничку документацију произвођача“.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кроз измене и допуне интерног правног оквира у области јавних набавки којим би се дефинисало у којим случајевима, за које јавне набавке и на који начин се одређује шта је то други одговарајући начин доказивања у случајевима у којима се као услов за учешће у јавној набавци од понуђача захтева да добра, услуге и радови имају и друштвене и друге карактеристике (на пример, еколошке или безбедносне карактеристике, енергетску ефикасност и слично).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Израдити анализу потребе за дефинисање „других одговарајућих начина доказивања који може обухватити и техничку документацију произвођача“ унутар Правилника о ближем уређивању поступка јавне набавке након доношења новог Закона о јавним набавкама.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Израдити анализу потребе у контексту одредаба новог закона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31.3.2020. </w:t>
            </w:r>
          </w:p>
          <w:p>
            <w:pPr>
              <w:suppressLineNumbers w:val="true"/>
              <w:suppressAutoHyphens w:val="true"/>
              <w:spacing w:before="0" w:after="0" w:line="240"/>
              <w:ind w:right="0" w:left="0" w:firstLine="0"/>
              <w:jc w:val="left"/>
              <w:rPr>
                <w:color w:val="auto"/>
                <w:spacing w:val="0"/>
                <w:position w:val="0"/>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Сачекати нови закон</w:t>
            </w: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939"/>
      </w:tblGrid>
      <w:tr>
        <w:trPr>
          <w:trHeight w:val="1" w:hRule="atLeast"/>
          <w:jc w:val="left"/>
        </w:trPr>
        <w:tc>
          <w:tcPr>
            <w:tcW w:w="1377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14.2. Повећање поступка транспарентности и контроле јавних набавки</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Сва документа која настају у поступцима јавних набавки се јавно објављују (осим уколико не подлежу ограничењима за јавно објављивање која су дефинисана другим законима).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Број представника јавности - грађанских посматрача - који учествују у припреми, спровођењу или контроли поступака јавних набавки. </w:t>
            </w:r>
          </w:p>
          <w:p>
            <w:pPr>
              <w:suppressLineNumbers w:val="true"/>
              <w:suppressAutoHyphens w:val="true"/>
              <w:spacing w:before="0" w:after="0" w:line="240"/>
              <w:ind w:right="0" w:left="0" w:firstLine="0"/>
              <w:jc w:val="left"/>
              <w:rPr>
                <w:color w:val="auto"/>
                <w:spacing w:val="0"/>
                <w:position w:val="0"/>
                <w:shd w:fill="auto" w:val="clear"/>
              </w:rPr>
            </w:pP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Објављују се документи закоје постоји законска обавеза; не постоји пракса грађанског посматрања јавних набавки</w:t>
            </w:r>
          </w:p>
        </w:tc>
        <w:tc>
          <w:tcPr>
            <w:tcW w:w="405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Објављени сви документи у вези са јавним набавкама и њиховим извршењему складу са измењеним Правилником</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да се сва документа која настају у поступцима јавних набавки јавно објављују.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Обавезу је потребно успоставити кроз измене и допуне интерног правног оквира у области јавних набавки или усвајањем посебног упутства којим би се сва документа која настају у поступцима јавних набавки јавно објавила, а не само она која су законом изричито прописана као јавна (на пример, записници о оцени понуда, извештаји о стручној оцени, извештаји о праћењу и реализацији јавних набавки итд.).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Објављивање докумената на сајту Града и порталу јавних набавки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Изменом Правилника прописати обавезу објављивањадокумената на сајту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Редовно објављивање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Правилник допуњентако да се предвиди објављивање свих докумената која настају у поступцима јавних набавки које прописује Закон</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Начелник ГУ</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 усвојеном Закону о јавним набавкама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три месеца након ступања Закона о јавним набавкама на снагу)</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Пракса објављивања свих документа, који су законом предвиђени увешће се одмах након усвајања Плана јавних набавки 2020.илиуспостављања новог сајта Града, у зависности од тога шта буде било раније.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14.2.2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Дефинисати врсте јавних набавки које спроводи ЈЛС а у којима је обавезно укључивање представника јавности - грађанског посматрача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Интерним актом у области јавних набавки прописане врсте ЈН у којима је обавезно укључивање  представника јавности - грађанског посматрача.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Дефинисање учешћа представника јавности - грађанског посматрача треба да буде спроведено за фазе припреме, спровођења (рада комисије за ЈН) или контроле над додељеном јавном набавком.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Утврђивање потребе за изменом и допуном Правилника у вези са омогућавањем праћења поступка јавне набавке од стране грађанског надзорника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Размотрена измена Правилника о ближем уређивању поступка јавне набавке тако да су дефинисане врсте јавних набавки које спроводи Град а у којима је обавезно укључивање представника јавности - грађанског надзорника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Служба јавних набавки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После усвајања закона (три месеца након ступања новог Закона о јавним набавкама на снагу)</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93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3770"/>
      </w:tblGrid>
      <w:tr>
        <w:trPr>
          <w:trHeight w:val="1" w:hRule="atLeast"/>
          <w:jc w:val="left"/>
        </w:trPr>
        <w:tc>
          <w:tcPr>
            <w:tcW w:w="1377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numPr>
                <w:ilvl w:val="0"/>
                <w:numId w:val="771"/>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15: Јачање интерних механизама финансијске контроле</w:t>
            </w:r>
          </w:p>
        </w:tc>
      </w:tr>
      <w:tr>
        <w:trPr>
          <w:trHeight w:val="1" w:hRule="atLeast"/>
          <w:jc w:val="left"/>
        </w:trPr>
        <w:tc>
          <w:tcPr>
            <w:tcW w:w="1377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Управљање јавним ресурсима треба да буде одговорност сваког органа јавне власти који тим ресурсима располаже. Да би они могли да испуне ту важну функцију, неопходно је успостављање и јачање интерних механизама за управљање јавним ресурсима, као и јачање интерне контроле над трошењем средстава. Досадашња пракса у овој области показује значајне недостатке, а неки од њих су: систем формирања буџета органа јавне власти није довољно транспарентан и није адекватан са становишта објективног праћења и ефикасне контроле; не постоји јединствени правни оквир за успостављање ових механизама; круг субјеката, односно органа јавне власти који су у обавези да уведу ове механизме је ограничен само на неке државне органе; критеријуми за успостављање су дати само на нивоу броја запослених, а не и буџета којим располажу; интерни ревизори нису независни у свом раду, јер су подређени руководиоцима органа у којима раде; не постоје капацитети, нити обучени кадрови у органима јавне власти који су способни да спроводе ефикасно финансијско управљање и контролу и тако даље. Сви ови недостаци нарочито се односе на ЈЛС, које су додатно оптерећене недостатком потребних кадрова и ресурса за адекватно спровођење процеса буџетске контроле, интерне ревизије и финансијског управљања и контроле. Упркос бројним ограничењима са којима се суочава већина ЈЛС у Србији, локалним планом за борбу против корупције </w:t>
            </w:r>
            <w:r>
              <w:rPr>
                <w:rFonts w:ascii="Times New Roman" w:hAnsi="Times New Roman" w:cs="Times New Roman" w:eastAsia="Times New Roman"/>
                <w:b/>
                <w:color w:val="auto"/>
                <w:spacing w:val="0"/>
                <w:position w:val="0"/>
                <w:sz w:val="24"/>
                <w:shd w:fill="auto" w:val="clear"/>
              </w:rPr>
              <w:t xml:space="preserve">неопходно је предвидети макар припрему успостављања адекватног система интерне ревизије и финансијског управљања и контроле</w:t>
            </w:r>
            <w:r>
              <w:rPr>
                <w:rFonts w:ascii="Times New Roman" w:hAnsi="Times New Roman" w:cs="Times New Roman" w:eastAsia="Times New Roman"/>
                <w:color w:val="auto"/>
                <w:spacing w:val="0"/>
                <w:position w:val="0"/>
                <w:sz w:val="24"/>
                <w:shd w:fill="auto" w:val="clear"/>
              </w:rPr>
              <w:t xml:space="preserve">, као и </w:t>
            </w:r>
            <w:r>
              <w:rPr>
                <w:rFonts w:ascii="Times New Roman" w:hAnsi="Times New Roman" w:cs="Times New Roman" w:eastAsia="Times New Roman"/>
                <w:b/>
                <w:color w:val="auto"/>
                <w:spacing w:val="0"/>
                <w:position w:val="0"/>
                <w:sz w:val="24"/>
                <w:shd w:fill="auto" w:val="clear"/>
              </w:rPr>
              <w:t xml:space="preserve">јачање капацитета буџетске инспекције тамо где она нема довољно капацитета за рад</w:t>
            </w:r>
            <w:r>
              <w:rPr>
                <w:rFonts w:ascii="Times New Roman" w:hAnsi="Times New Roman" w:cs="Times New Roman" w:eastAsia="Times New Roman"/>
                <w:color w:val="auto"/>
                <w:spacing w:val="0"/>
                <w:position w:val="0"/>
                <w:sz w:val="24"/>
                <w:shd w:fill="auto" w:val="clear"/>
              </w:rPr>
              <w:t xml:space="preserve">. Период важења локалног антикорупцијског плана ће бити такав да је у периоду његовог важења неопходно извршити анализу постојећих ресурса и капацитета и предвидети унутрашње прераспоређивање кадрова, њихову едукацију или запошљавање нових лица која би се бавила овим, за сузбијање корупције веома важним областима.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209"/>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15.1. Успостављен ефикасан систем интерне ревизије на нивоу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Усвајање јавних политика на нивоу ЈЛС које омогућавају успостављање система интерне ревизије</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Постоји Одлука о оснивању Слжбе интерне ревизије града Врања од 30.11.2017. број 06-247/13/2017-04</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Основана служба интерне ревизије, донети планови за њен рад, успостављен систем за праћење остваривања препорука из ревизорских извештаја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Израдити анализу потреба, ресурса и капацитета ЈЛС за успостављање система интерне ревизије, у складу са </w:t>
            </w:r>
            <w:r>
              <w:rPr>
                <w:rFonts w:ascii="Times New Roman" w:hAnsi="Times New Roman" w:cs="Times New Roman" w:eastAsia="Times New Roman"/>
                <w:i/>
                <w:color w:val="auto"/>
                <w:spacing w:val="0"/>
                <w:position w:val="0"/>
                <w:sz w:val="24"/>
                <w:shd w:fill="auto" w:val="clear"/>
              </w:rPr>
              <w:t xml:space="preserve">Правилником о заједничким критеријумима за организовање и стандардима и методолошким упутствима за поступање и извештавање интерне ревизије у јавном сектиру („Службени гласник РС” бр. 99/11 i 106/13)</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Спроведена анализа потреба, ресурса и капацитета ЈЛС за успостављање једног од три могућа модалитета система интерне ревизије, у складу са чланом 3.  </w:t>
            </w:r>
            <w:r>
              <w:rPr>
                <w:rFonts w:ascii="Times New Roman" w:hAnsi="Times New Roman" w:cs="Times New Roman" w:eastAsia="Times New Roman"/>
                <w:i/>
                <w:color w:val="auto"/>
                <w:spacing w:val="0"/>
                <w:position w:val="0"/>
                <w:sz w:val="24"/>
                <w:shd w:fill="auto" w:val="clear"/>
              </w:rPr>
              <w:t xml:space="preserve">Правилника о заједничким критеријумима за организовање и стандардима и методолошким упутствима за поступање и извештавање интерне ревизије у јавном сектиру („Службени гласник РС“ бр. 99/11 i 106/13)</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Довршити поступак формирања службе за интерну ревизију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Основана службаза интерну ревизију</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30.6.2020.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Систематизовано три радна места, а попуњено једно</w:t>
            </w: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нормативне, организационе, кадровске, материјалне и техничке претпоставке за успостављање система интерне ревизије, у складу са резултатима анализе потреба, ресурса и капацитета ЈЛС.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правни акт којим се успоставља систем интерне ревизије;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Усвојене измене/допуне систематизације којима се уводе радна места за интерну ревизију;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Запослена и/или одређена лица од постојећих запослених за интерну ревизију;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Обезбеђени услови за обуку и сертификовање лица за интерну ревизију у случајевима у којима они не постоје (полагање ревизорског испита, учешће на неопходним обукама коју организује Централна јединица за хармонизацију Министарства финансија и слично).</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Обезбеђене материјалне и техничке претпоставке за функционисање интерне ревизије (обезбеђен буџет, просторије, опрема итд.).</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Запослена и/или одређена лица од постојећих запослених за интерну ревизију;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Обезбеђени услови за обуку и сертификовање лица за интерну ревизију услучајевима у којима они не постоје (полагање ревизорског испита, учешће на неопходним обукама коју организује Централна јединица за хармонизацију Министарства финансија и слично).</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Обезбеђене материјалне и техничке претпоставке за функционисање интерне ревизије (обезбеђен буџет, просторије, опрема итд.).</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правни акт којим су успостављененормативне, организационе, кадровске, материјалне и техничке претпоставке зауспостављање система интерне ревизије, у складу са резултатима анализе потреба, ресурса и капацитета ЈЛС.</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Градоначелник</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6 </w:t>
            </w:r>
            <w:r>
              <w:rPr>
                <w:rFonts w:ascii="Times New Roman" w:hAnsi="Times New Roman" w:cs="Times New Roman" w:eastAsia="Times New Roman"/>
                <w:i/>
                <w:color w:val="auto"/>
                <w:spacing w:val="0"/>
                <w:position w:val="0"/>
                <w:sz w:val="24"/>
                <w:shd w:fill="auto" w:val="clear"/>
              </w:rPr>
              <w:t xml:space="preserve">месеци након укидања забране запошљавања</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ефикасно функционисање система интерне ревизије.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стратешки трогодишњи план интерне ревизије, годишњи план рада интерне ревизије и планови појединачних ревизија;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систем израде и подношења ревизорских извештаја;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систем праћења препорука из ревизорског извештаја.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Ревидирање стратешких планова интерне ревизије, доношење нових годишњих планова рада интерне ревизије и планове појединачних ревизија;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Континуирано праћење препорукаинтерне ревизије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Извршено усвајање стратешког плана, усвојени годишњи планови, поднешени годишњи извештаји. Континуиранопраћење препорука интерне ревизије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Јендом годишње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209"/>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15.2. Успостављен ефикасан систем финансијског управљања и контроле</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јавне политике на нивоу ЈЛС које омогућавају успостављање система финансијског управљања и контроле.</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Израда процедура</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Успостављен ФУК</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15.2.1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Израдити анализу потреба, ресурса и капацитета ЈЛС за успостављање система финансијског управљања и контроле, у складу са </w:t>
            </w:r>
            <w:r>
              <w:rPr>
                <w:rFonts w:ascii="Times New Roman" w:hAnsi="Times New Roman" w:cs="Times New Roman" w:eastAsia="Times New Roman"/>
                <w:i/>
                <w:color w:val="auto"/>
                <w:spacing w:val="0"/>
                <w:position w:val="0"/>
                <w:sz w:val="24"/>
                <w:shd w:fill="auto" w:val="clear"/>
              </w:rPr>
              <w:t xml:space="preserve">Правилником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 заједничким критеријумима и стандардима за успостављање, функционисање и извештавање о систему финансијског управљања и контроле у јавном сектору (“Службени гласник РС”, бр. 99/11 od 27.12.2011. године)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Спроведена анализа потреба, ресурса и капацитета ЈЛС за успостављање система финансијског управљања и контроле, у складу са</w:t>
            </w:r>
            <w:r>
              <w:rPr>
                <w:rFonts w:ascii="Times New Roman" w:hAnsi="Times New Roman" w:cs="Times New Roman" w:eastAsia="Times New Roman"/>
                <w:i/>
                <w:color w:val="auto"/>
                <w:spacing w:val="0"/>
                <w:position w:val="0"/>
                <w:sz w:val="24"/>
                <w:shd w:fill="auto" w:val="clear"/>
              </w:rPr>
              <w:t xml:space="preserve">Правилником о заједничким критеријумима и стандардима за успостављање, функционисање и извештавање о систему финансијског управљања и контроле у јавном сектору (“Службени гласник РС”, бр. 99/11 od 27.12.2011. године)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Успостављен ФУК</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Усвојене процедуре, егистар ризика и Стратегија управљања ризицима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Контрола примене на три године</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РЕЛОФ (Пројекат реформе локалних финансија)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15.2.2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нормативне, организационе, кадровске, материјалне и техничке претпоставке за успостављање система финансијског управљања и контроле, у складу са резултатима анализе потреба, ресурса и капацитета ЈЛС.</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правни акт којим се успоставља систем финансијског управљања и контроле;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Усвојене измене/допуне систематизације којима се уводе радна места надлежна за финансијско управљање и контролу;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Запослена и/или одређена лица задужена за финансијско управљање и контролу;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Обезбеђене препоставке за обуку лица надлежних за финансијско управљање и контролу у случајевима у којима они не постоје (учешће на неопходним обукама и слично).</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Обезбеђене материјалне и техничке претпоставке за функционисање система финансијског управљања и контроле (буџет, просторије, опрема итд.).</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Донети Правилник којим се се успоставља систем финансијског управљања и контроле ради увођења код свих директних и индиректних корисника,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Одредити лица која су одговорна за ФУК, обезбедити претпоставке за обуку за финансијско управљање и контролу</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 којим се </w:t>
            </w:r>
            <w:r>
              <w:rPr>
                <w:rFonts w:ascii="Times New Roman" w:hAnsi="Times New Roman" w:cs="Times New Roman" w:eastAsia="Times New Roman"/>
                <w:color w:val="auto"/>
                <w:spacing w:val="0"/>
                <w:position w:val="0"/>
                <w:sz w:val="24"/>
                <w:shd w:fill="auto" w:val="clear"/>
              </w:rPr>
              <w:t xml:space="preserve">се </w:t>
            </w:r>
            <w:r>
              <w:rPr>
                <w:rFonts w:ascii="Times New Roman" w:hAnsi="Times New Roman" w:cs="Times New Roman" w:eastAsia="Times New Roman"/>
                <w:i/>
                <w:color w:val="auto"/>
                <w:spacing w:val="0"/>
                <w:position w:val="0"/>
                <w:sz w:val="24"/>
                <w:shd w:fill="auto" w:val="clear"/>
              </w:rPr>
              <w:t xml:space="preserve">успоставља систем финансијског управљања и контроле ради увођења код свих директних и индиректних корисника,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Одредити лица која су одговорна за ФУК, обезбедити претпоставке за обуку за финансијско управљање и контролу</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 Јавна предузећа и индиректни буджетски корисници</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Деецембар 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РЕЛОФ (Пројекат реформе локалних финансија)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Успешна сарадна са експертима из РЕЛОФ пројекта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15.2.3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ефикасно функционисање система финансијског управљања и контроле.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план и програм система финансијског управљања и контроле;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систем израде и подношења извештаја о финансијском управљању и контроли;</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Успостављен систем праћења препорука из извештаја о финансијском управљању и контроли.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Усвојити план и програм Правилником из 15.2.2 и регулисатифункционисање система финансијског управљања и контроле</w:t>
            </w:r>
            <w:r>
              <w:rPr>
                <w:rFonts w:ascii="Times New Roman" w:hAnsi="Times New Roman" w:cs="Times New Roman" w:eastAsia="Times New Roman"/>
                <w:color w:val="auto"/>
                <w:spacing w:val="0"/>
                <w:position w:val="0"/>
                <w:sz w:val="24"/>
                <w:shd w:fill="auto" w:val="clear"/>
              </w:rPr>
              <w:t xml:space="preserve">.</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план и програм Правилником из 15.2.2 су регулисанифункционисање система финансијског управљања и контроле</w:t>
            </w:r>
            <w:r>
              <w:rPr>
                <w:rFonts w:ascii="Times New Roman" w:hAnsi="Times New Roman" w:cs="Times New Roman" w:eastAsia="Times New Roman"/>
                <w:color w:val="auto"/>
                <w:spacing w:val="0"/>
                <w:position w:val="0"/>
                <w:sz w:val="24"/>
                <w:shd w:fill="auto" w:val="clear"/>
              </w:rPr>
              <w:t xml:space="preserve">.</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2022.</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РЕЛОФ (Пројекат реформе локалних финансија)</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Успешна сарадна са експертима из РЕЛОФ пројекта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209"/>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15.3. Ојачан систем контроле буџетских средстава корисника буџета ЈЛС</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Повећан број буџетских инспектора;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Повећан број контрола које спроводе буџетски инспектори на одређеном временском нивоу (</w:t>
            </w:r>
            <w:r>
              <w:rPr>
                <w:rFonts w:ascii="Times New Roman" w:hAnsi="Times New Roman" w:cs="Times New Roman" w:eastAsia="Times New Roman"/>
                <w:i/>
                <w:color w:val="auto"/>
                <w:spacing w:val="0"/>
                <w:position w:val="0"/>
                <w:sz w:val="24"/>
                <w:shd w:fill="auto" w:val="clear"/>
              </w:rPr>
              <w:t xml:space="preserve">прецизирати на ком нивоу</w:t>
            </w:r>
            <w:r>
              <w:rPr>
                <w:rFonts w:ascii="Times New Roman" w:hAnsi="Times New Roman" w:cs="Times New Roman" w:eastAsia="Times New Roman"/>
                <w:color w:val="auto"/>
                <w:spacing w:val="0"/>
                <w:position w:val="0"/>
                <w:sz w:val="24"/>
                <w:shd w:fill="auto" w:val="clear"/>
              </w:rPr>
              <w:t xml:space="preserve">)</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__1_ </w:t>
            </w:r>
            <w:r>
              <w:rPr>
                <w:rFonts w:ascii="Times New Roman" w:hAnsi="Times New Roman" w:cs="Times New Roman" w:eastAsia="Times New Roman"/>
                <w:color w:val="auto"/>
                <w:spacing w:val="0"/>
                <w:position w:val="0"/>
                <w:sz w:val="24"/>
                <w:shd w:fill="auto" w:val="clear"/>
              </w:rPr>
              <w:t xml:space="preserve">број буџетских инспектора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__8_ </w:t>
            </w:r>
            <w:r>
              <w:rPr>
                <w:rFonts w:ascii="Times New Roman" w:hAnsi="Times New Roman" w:cs="Times New Roman" w:eastAsia="Times New Roman"/>
                <w:color w:val="auto"/>
                <w:spacing w:val="0"/>
                <w:position w:val="0"/>
                <w:sz w:val="24"/>
                <w:shd w:fill="auto" w:val="clear"/>
              </w:rPr>
              <w:t xml:space="preserve">број контрола које спроводе буџетски инспектори на одређеном временском нивоу - годишње</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 </w:t>
            </w:r>
            <w:r>
              <w:rPr>
                <w:rFonts w:ascii="Times New Roman" w:hAnsi="Times New Roman" w:cs="Times New Roman" w:eastAsia="Times New Roman"/>
                <w:color w:val="auto"/>
                <w:spacing w:val="0"/>
                <w:position w:val="0"/>
                <w:sz w:val="24"/>
                <w:shd w:fill="auto" w:val="clear"/>
              </w:rPr>
              <w:t xml:space="preserve">број буџетских инспектора</w:t>
            </w:r>
          </w:p>
          <w:p>
            <w:pPr>
              <w:suppressLineNumbers w:val="true"/>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 </w:t>
            </w:r>
            <w:r>
              <w:rPr>
                <w:rFonts w:ascii="Times New Roman" w:hAnsi="Times New Roman" w:cs="Times New Roman" w:eastAsia="Times New Roman"/>
                <w:color w:val="auto"/>
                <w:spacing w:val="0"/>
                <w:position w:val="0"/>
                <w:sz w:val="24"/>
                <w:shd w:fill="auto" w:val="clear"/>
              </w:rPr>
              <w:t xml:space="preserve">број контрола које спроводе буџетски инспектори на одређеном временском нивоу -годишње</w:t>
            </w:r>
            <w:r>
              <w:rPr>
                <w:rFonts w:ascii="Times New Roman" w:hAnsi="Times New Roman" w:cs="Times New Roman" w:eastAsia="Times New Roman"/>
                <w:color w:val="FF0000"/>
                <w:spacing w:val="0"/>
                <w:position w:val="0"/>
                <w:sz w:val="24"/>
                <w:shd w:fill="auto" w:val="clear"/>
              </w:rPr>
              <w:br/>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15.3.1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Израдити анализу потреба, ресурса и капацитета ЈЛС за јачање службе за буџетску инспекцију коју оснива ЈЛС у складу са Законом о буџетском систему (“Службени гласник РС”, бр. 54/09, 73/10, 101/10, 101/11, 93/12, 62/13, 63/13 - испр., 108/13, 142/14, 68/15 - др. закон, 103/15 и 99/16).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Спроведена анализа потреба, ресурса и капацитета ЈЛС за јачање службе за буџетску инспекцију коју оснива ЈЛС у складу са Законом о буџетском систему.</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Спровести анализу потреба, ресурса и капацитета за јачање службе за буџетску инспекцију коју оснива Град  у складу са Законом о буџетском систему</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Извршенаанализа потреба, ресурса и капацитета за јачање службе за буџетску инспекцију коју оснива Град у складу са Законом о буџетском систему</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Постоји</w:t>
              <w:br/>
            </w:r>
            <w:r>
              <w:rPr>
                <w:rFonts w:ascii="Times New Roman" w:hAnsi="Times New Roman" w:cs="Times New Roman" w:eastAsia="Times New Roman"/>
                <w:i/>
                <w:color w:val="auto"/>
                <w:spacing w:val="0"/>
                <w:position w:val="0"/>
                <w:sz w:val="24"/>
                <w:shd w:fill="auto" w:val="clear"/>
              </w:rPr>
              <w:t xml:space="preserve">1 </w:t>
            </w:r>
            <w:r>
              <w:rPr>
                <w:rFonts w:ascii="Times New Roman" w:hAnsi="Times New Roman" w:cs="Times New Roman" w:eastAsia="Times New Roman"/>
                <w:i/>
                <w:color w:val="auto"/>
                <w:spacing w:val="0"/>
                <w:position w:val="0"/>
                <w:sz w:val="24"/>
                <w:shd w:fill="auto" w:val="clear"/>
              </w:rPr>
              <w:t xml:space="preserve">буџетски инспектор који је систематизован</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15.3.2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ефикасно функционисање службе за буџетску инспекцију коју оснива ЈЛС у складу са Законом о буџетском систему и у складу са резултатима анализе потреба, ресурса и капацитета ЈЛС.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Усвојене измене и/или допуне систематизације радних места које обезбеђују повећање броја буџетских инспектора, у складу са анализом потреба;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Запослени нови буџетски инспектори или извршена прерасподела постојећих запослених службеника на послове буџетске инспекције, у складу са анализом потреба;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Успостављен систем израде програма и плана спровођења контроле буџетске инспекције;</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Обезбеђено спровођење мера из решења буџетске инспекције, у складу са Законом о буџетском систему (на пример, доследна обустава исплате средстава индиректним буџетским корисницима у случајевима утврђених неправилности и непоступања по мерама из решења, издавање налога враћање средстава и слично).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 основу анализе из 15.3.1 усвојити измене и допуне Правилника о систематизацијирадних места, које обезбеђују повећање броја буџетских инспектора. Успоставити систем израде програма и плана спровођења контроле буџетске инспекције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 основу анализе из 15.3.1 усвојене измене и допуне Правилника о систематизацији радних места, које обезбеђују повећање броја буџетских инспектора.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Успостављен систем израде програма и плана спровођења контроле буџетске инспекције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31.12.2020.</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4040"/>
      </w:tblGrid>
      <w:tr>
        <w:trPr>
          <w:trHeight w:val="1" w:hRule="atLeast"/>
          <w:jc w:val="left"/>
        </w:trPr>
        <w:tc>
          <w:tcPr>
            <w:tcW w:w="1404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numPr>
                <w:ilvl w:val="0"/>
                <w:numId w:val="843"/>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16: Јачање механизама грађанског надзора и контроле у процесу планирања и реализације буџета ЈЛС</w:t>
            </w:r>
          </w:p>
        </w:tc>
      </w:tr>
      <w:tr>
        <w:trPr>
          <w:trHeight w:val="773" w:hRule="auto"/>
          <w:jc w:val="left"/>
        </w:trPr>
        <w:tc>
          <w:tcPr>
            <w:tcW w:w="1404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35" w:hanging="35"/>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Буџет ЈЛС је правни документ који утврђује план прихода и расхода за једну календарску годину. Међутим, буџет је знатно више од тога - он представља једну од најважнијих локалних јавних политика и основни инструмент за реализацију пројеката од значаја за јавни интерес локалне заједнице. Без добро планираног, довољно транспарентног и оптимално контролисаног буџета ЈЛС, ризик од неадекватног трошења често врло ограничене количине новца којом располаже ЈЛС изузетно је велики. Осим ризика од неадекватног трошења буџета (односно трошења које не одговара стварним потребама локалне заједнице), у околностима лошег планирања, недовољне транспарентности и непостојања екстерног надзора над трошењем буџета, појављују се и опстају и ризици од корупције у њеним различитим појавним облицима, којима је заједнички именитељ злоупотреба јавног новца за приватне интересе, било да су они лични, групни, интереси политичких странака или неки други. Упркос сталним настојањима да се процес управљања локалним буџетом учини отворенијим за јавност, односно отпорним на ризике од корупције, на постојање дискреционих одлука или на непланско и неадекватно трошење (на пример, кроз увођење обавезујуће јавне расправе о локалном буџету), тај процес је неопходно константно оснаживати и држати под лупом заинтересоване јавности. Једном достигнут ниво напретка у овој области не значи и његово одржавање, услед „природне тенденције“ свих органа јавне власти за држањем информација о буџету што је могуће даље од очију јавности. Осим тога, савремени системи информисања, појава и ширење употребе интернета и друштвених мрежа знатно повећавају потребу, али и могућности за јачање транспарентности било које јавне политике, па и оне која се тиче управљања јавним финансијама.</w:t>
            </w:r>
          </w:p>
          <w:p>
            <w:pPr>
              <w:suppressLineNumbers w:val="true"/>
              <w:suppressAutoHyphens w:val="true"/>
              <w:spacing w:before="0" w:after="0" w:line="240"/>
              <w:ind w:right="0" w:left="35" w:hanging="35"/>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35" w:hanging="35"/>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Осим јавних расправа, као једне од најприхваћенијих форми укључивања јавности у процес израде локалног буџета, ЈЛС кроз своје локалне антикорупцијске планове могу и на друге начине да обезбеде ширу партиципацију, већу транспарентност и јачу контролу јавности у овој области. У том смислу, потребно је прописати мере и спровести активности у правцу бољег и интензивнијег информисања јавности о буџетском циклусу, успоставити чвршћу везу између потреба и интереса становника локалне заједнице и пројеката који се финансирају из локалног буџета, као и обавезу органа ЈЛС да интензивније и свеобухватније извештавају о реализацији, односно трошењу јавног буџета. Посебну пажњу потребно је посветити обавештавању грађана о стању локалног буџета и то на начин, у форми и језиком који ће бити разумљив најширем могућем кругу становника локалне заједнице, што се може постићи успостављањем обавезе редовне израде Грађанског водича кроз локални буџет. </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637"/>
        <w:gridCol w:w="1583"/>
        <w:gridCol w:w="2366"/>
        <w:gridCol w:w="1889"/>
        <w:gridCol w:w="1549"/>
        <w:gridCol w:w="1691"/>
        <w:gridCol w:w="1310"/>
        <w:gridCol w:w="1806"/>
        <w:gridCol w:w="1209"/>
      </w:tblGrid>
      <w:tr>
        <w:trPr>
          <w:trHeight w:val="1" w:hRule="atLeast"/>
          <w:jc w:val="left"/>
        </w:trPr>
        <w:tc>
          <w:tcPr>
            <w:tcW w:w="14040" w:type="dxa"/>
            <w:gridSpan w:val="9"/>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16.1. Успостављен ефикасан систем информисања и укључивања јавности у процес планирања и надзора над трошењем локалног буџета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6475"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Усвојене интерне процедуре и формиран организациони оквир који омогућава повећање транспарентности, смањење дискреционих овлашћења и јачање грађанског надзора и контроле над локалним буџетом.  </w:t>
            </w:r>
          </w:p>
        </w:tc>
        <w:tc>
          <w:tcPr>
            <w:tcW w:w="324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Карактер постојећег оквира и праксе ЈЛС у овој области</w:t>
            </w:r>
          </w:p>
        </w:tc>
        <w:tc>
          <w:tcPr>
            <w:tcW w:w="4325" w:type="dxa"/>
            <w:gridSpan w:val="3"/>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Карактер оквира и праксе ЈЛС у овој области након реализације мера из ЛАП-а</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16.1.1</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информисања јавности о фазама и току буџетског циклуса.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оквир ЈЛС којим се дефинише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План и програм информисања о буџетском циклусу;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 (начине) информисања;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Средства (начине) за праћење резултата и ефеката информисања.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Усвојити Правилник Града којидефинише:План и програм информисања о буџетском циклусу;</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Средства (начини) информисања</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 Града  којим су дефинисаниПлан и програм информисања о буџетском циклусу;,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Средства (начине) информисања</w:t>
            </w:r>
          </w:p>
          <w:p>
            <w:pPr>
              <w:suppressLineNumbers w:val="true"/>
              <w:suppressAutoHyphens w:val="true"/>
              <w:spacing w:before="0" w:after="0" w:line="240"/>
              <w:ind w:right="0" w:left="0" w:firstLine="0"/>
              <w:jc w:val="left"/>
              <w:rPr>
                <w:color w:val="auto"/>
                <w:spacing w:val="0"/>
                <w:position w:val="0"/>
                <w:shd w:fill="auto" w:val="clear"/>
              </w:rPr>
            </w:pP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1.12.2019</w:t>
            </w: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Дефинисано пројектом УСАИД Пројекат за одговорну власт (ЛАП и БУЏЕТ)</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16.1.2</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адекватног укључивања заинтересоване јавности у процес планирања и припреме буџета.</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оквир ЈЛС којим се дефинише следеће: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План и програм укључивања заинтересоване јавности у процес планирања и припреме буџета;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Методе (начине) укључивања који треба да обухвате: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јавне расправе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истраживање о приоритетима локалне заједнице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друге форме изјашњавања грађана и прикупљања предлога о пројектима од значаја за локалну заједницу, у складу са постојећим и расположивим буџетским оквиром.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Обавеза систематизовања, анализе и објављивање резултата укључивања заинтересоване јавности у процес планирања и припреме буџета.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Изменама Закона о буџетском систему предвиђена је обавеза ЈЛС да одржавају јавне расправе у пеиоду који претходи доношењу одлуке о буџету. Време и форма састанка је предвиђена законом.</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Одржана јавна расправа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буџет и финансије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Мера се већ примењује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16.1.3</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извештавања јавности о реализацији локалног буџета.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Усвојен интерни оквир ЈЛС којим се дефинише следеће:</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Форме извештавања јавности о реализацији буџета;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Учесталост извештавања јавности о реализацији буџета.</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Усвојити Правилник којим се дефинише</w:t>
            </w:r>
            <w:r>
              <w:rPr>
                <w:rFonts w:ascii="Times New Roman" w:hAnsi="Times New Roman" w:cs="Times New Roman" w:eastAsia="Times New Roman"/>
                <w:color w:val="auto"/>
                <w:spacing w:val="0"/>
                <w:position w:val="0"/>
                <w:sz w:val="24"/>
                <w:shd w:fill="auto" w:val="clear"/>
              </w:rPr>
              <w:t xml:space="preserve">:.</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Форме извештавања јавности о реализацији буџета;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Учесталост извештавања јавности о реализацији буџета.</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 којим се дефинише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Форме извештавања јавности о реализацији буџета;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Учесталост извештавања јавности о реализацији буџета.</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буџет и финансије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Мера се већ примењује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637"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16.1.4</w:t>
            </w:r>
          </w:p>
        </w:tc>
        <w:tc>
          <w:tcPr>
            <w:tcW w:w="1583"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Успоставити обавезу редовне израде Грађанског водича кроз буџет локалне самоуправе .</w:t>
            </w:r>
          </w:p>
        </w:tc>
        <w:tc>
          <w:tcPr>
            <w:tcW w:w="236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Грађански водич кроз буџет садржи најмање следеће елементе, који су састављени на начин који је разумљив најширем кругу становника локалне заједнице:</w:t>
            </w:r>
          </w:p>
          <w:p>
            <w:pPr>
              <w:numPr>
                <w:ilvl w:val="0"/>
                <w:numId w:val="87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Опис процеса планирања, припреме, усвајања, реализације и контроле локалног буџета;</w:t>
            </w:r>
          </w:p>
          <w:p>
            <w:pPr>
              <w:numPr>
                <w:ilvl w:val="0"/>
                <w:numId w:val="87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Листу буџетских корисника;</w:t>
            </w:r>
          </w:p>
          <w:p>
            <w:pPr>
              <w:numPr>
                <w:ilvl w:val="0"/>
                <w:numId w:val="87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буџетских прихода;</w:t>
            </w:r>
          </w:p>
          <w:p>
            <w:pPr>
              <w:numPr>
                <w:ilvl w:val="0"/>
                <w:numId w:val="87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буџетских расхода;</w:t>
            </w:r>
          </w:p>
          <w:p>
            <w:pPr>
              <w:numPr>
                <w:ilvl w:val="0"/>
                <w:numId w:val="87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програма/пројеката који се финансирају из буџета</w:t>
            </w:r>
          </w:p>
          <w:p>
            <w:pPr>
              <w:numPr>
                <w:ilvl w:val="0"/>
                <w:numId w:val="871"/>
              </w:numPr>
              <w:suppressLineNumbers w:val="true"/>
              <w:tabs>
                <w:tab w:val="left" w:pos="0" w:leader="none"/>
              </w:tabs>
              <w:suppressAutoHyphens w:val="true"/>
              <w:spacing w:before="0" w:after="0"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Промене у локалној буџетској политици у односу на претходну годину/године и планове за наредну/наредне године. </w:t>
            </w:r>
          </w:p>
        </w:tc>
        <w:tc>
          <w:tcPr>
            <w:tcW w:w="188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Правилник из 16.1.1. увести обавезу редовне израде Грађанског водича кроз буџет локалне самоуправе тако да садржи све минималне елементе</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Опис процеса планирања, припреме, усвајања, реализације и контроле локалног буџета;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Листу буџетских корисника;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Приказбуџетских прихода;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 буџетских расхода;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 програма/про</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јеката који се финансирају из буџета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Промене у локалној буџетској политици у односу на претходну годину/године и планове за наредну/наредне године.</w:t>
            </w:r>
          </w:p>
        </w:tc>
        <w:tc>
          <w:tcPr>
            <w:tcW w:w="1549"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 Правилник из 16.1.1. уведена обавеза редовне израде Грађанског водича кроз буџет локалне самоуправе, са свим траженим елементима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Опис процеса планирања, припреме, усвајања, реализације и контроле локалногбуџета;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Листу буџетских корисника;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 буџетских прихода;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 буџетских </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расхода;</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Приказ програма/про</w:t>
            </w:r>
          </w:p>
          <w:p>
            <w:pPr>
              <w:suppressLineNumbers w:val="true"/>
              <w:tabs>
                <w:tab w:val="left" w:pos="0" w:leader="none"/>
              </w:tabs>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јеката који се финансирају из буџета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Промене у локалној буџетској политици у односу на претходну годину/године и планове за наредну/наредне године.</w:t>
            </w:r>
          </w:p>
        </w:tc>
        <w:tc>
          <w:tcPr>
            <w:tcW w:w="1691"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Одељење за буџет и финансије</w:t>
            </w:r>
          </w:p>
        </w:tc>
        <w:tc>
          <w:tcPr>
            <w:tcW w:w="1310"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209" w:type="dxa"/>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Мера се већ примењује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Ind w:w="55" w:type="dxa"/>
      </w:tblPr>
      <w:tblGrid>
        <w:gridCol w:w="14040"/>
      </w:tblGrid>
      <w:tr>
        <w:trPr>
          <w:trHeight w:val="1" w:hRule="atLeast"/>
          <w:jc w:val="left"/>
        </w:trPr>
        <w:tc>
          <w:tcPr>
            <w:tcW w:w="14040" w:type="dxa"/>
            <w:tcBorders>
              <w:top w:val="single" w:color="000000" w:sz="2"/>
              <w:left w:val="single" w:color="000000" w:sz="2"/>
              <w:bottom w:val="single" w:color="000000" w:sz="2"/>
              <w:right w:val="single" w:color="000000" w:sz="2"/>
            </w:tcBorders>
            <w:shd w:color="000000" w:fill="ffffff" w:val="clear"/>
            <w:tcMar>
              <w:left w:w="54" w:type="dxa"/>
              <w:right w:w="54" w:type="dxa"/>
            </w:tcMar>
            <w:vAlign w:val="top"/>
          </w:tcPr>
          <w:p>
            <w:pPr>
              <w:keepNext w:val="true"/>
              <w:numPr>
                <w:ilvl w:val="0"/>
                <w:numId w:val="880"/>
              </w:numPr>
              <w:tabs>
                <w:tab w:val="left" w:pos="0" w:leader="none"/>
              </w:tabs>
              <w:suppressAutoHyphens w:val="true"/>
              <w:spacing w:before="0" w:after="0" w:line="240"/>
              <w:ind w:right="0" w:left="1152" w:hanging="432"/>
              <w:jc w:val="left"/>
              <w:rPr>
                <w:spacing w:val="0"/>
                <w:position w:val="0"/>
                <w:shd w:fill="auto" w:val="clear"/>
              </w:rPr>
            </w:pPr>
            <w:r>
              <w:rPr>
                <w:rFonts w:ascii="Times New Roman" w:hAnsi="Times New Roman" w:cs="Times New Roman" w:eastAsia="Times New Roman"/>
                <w:b/>
                <w:color w:val="C00000"/>
                <w:spacing w:val="0"/>
                <w:position w:val="0"/>
                <w:sz w:val="24"/>
                <w:u w:val="single"/>
                <w:shd w:fill="auto" w:val="clear"/>
              </w:rPr>
              <w:t xml:space="preserve">Област 17: Обезбеђивање правних, институционалних, организационих и техничких претпоставки за координацију спровођења и праћење примене ЛАП-а</w:t>
            </w:r>
          </w:p>
        </w:tc>
      </w:tr>
      <w:tr>
        <w:trPr>
          <w:trHeight w:val="1" w:hRule="atLeast"/>
          <w:jc w:val="left"/>
        </w:trPr>
        <w:tc>
          <w:tcPr>
            <w:tcW w:w="14040" w:type="dxa"/>
            <w:tcBorders>
              <w:top w:val="single" w:color="000000" w:sz="0"/>
              <w:left w:val="single" w:color="000000" w:sz="2"/>
              <w:bottom w:val="single" w:color="000000" w:sz="2"/>
              <w:right w:val="single" w:color="000000" w:sz="2"/>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 области: </w:t>
            </w:r>
            <w:r>
              <w:rPr>
                <w:rFonts w:ascii="Times New Roman" w:hAnsi="Times New Roman" w:cs="Times New Roman" w:eastAsia="Times New Roman"/>
                <w:color w:val="auto"/>
                <w:spacing w:val="0"/>
                <w:position w:val="0"/>
                <w:sz w:val="24"/>
                <w:shd w:fill="auto" w:val="clear"/>
              </w:rPr>
              <w:t xml:space="preserve">Координација спровођења и праћење спровођења локалног антикорупцијског плана је од кључног значаја за његову примену. Због тога је неопходно да свака ЈЛС одреди лице/тело надлежно за координирање одговорних субјеката на нивоу ЈЛС и да формира тело које ће бити одговорно за праћење његове примене и које ће о томе обавештавати јавност и друге заинтересоване актере у локалној заједници. Треба нагласити да мере и активности из ЛАП-а спроводе органи ЈЛС, док тело надлежно за праћење примене ЛАП-а прати да ли се мере и активности спроводе на начин на који је то дефинисано у ЛАП-у. Због тога је веома важно да тело надлежно за праћење примене ЛАП-а буде независно од саме ЈЛС, односно од њених органа, руководилаца и службеника. У том смислу, ЈЛС треба да организује и обезбеди спровођење поступка избора чланова овог тела на начин који ће обезбедити каснију независност рада овог тела, као и да обезбеди неопходне услове за рад тог тела. Осим тога, то тело у сарадњи са другим органима ЈЛС треба да одреди и сопствени делокруг послова и активности који се неће односити само на праћење примене ЛАП-а, већ ће се односити и на: покретање сопствених иницијатива, давање савета и мишљења у вези са применом ЛАП-а, реаговања на представке поднете због сумње у непоштовање или непримењивање ЛАП-а, препоручивање мера у случају нереализовања мера или кршења ЛАП-а, као и на предлагање грађанског посматрача за оне мере из ЛАП-а за које је тај институт предвиђен.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Напомена:Мера број 17.1.7. је додата из Биродијевог ЛАП-а.</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Grid>
        <w:gridCol w:w="636"/>
        <w:gridCol w:w="1413"/>
        <w:gridCol w:w="874"/>
        <w:gridCol w:w="709"/>
        <w:gridCol w:w="1657"/>
        <w:gridCol w:w="709"/>
        <w:gridCol w:w="1181"/>
        <w:gridCol w:w="708"/>
        <w:gridCol w:w="841"/>
        <w:gridCol w:w="708"/>
        <w:gridCol w:w="983"/>
        <w:gridCol w:w="708"/>
        <w:gridCol w:w="605"/>
        <w:gridCol w:w="705"/>
        <w:gridCol w:w="1102"/>
        <w:gridCol w:w="704"/>
        <w:gridCol w:w="1140"/>
        <w:gridCol w:w="813"/>
      </w:tblGrid>
      <w:tr>
        <w:trPr>
          <w:trHeight w:val="1" w:hRule="atLeast"/>
          <w:jc w:val="left"/>
        </w:trPr>
        <w:tc>
          <w:tcPr>
            <w:tcW w:w="16196" w:type="dxa"/>
            <w:gridSpan w:val="18"/>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Циљ 17.1. Обезбеђене правне, институционалне, организационе и техничке претпоставке за праћење примене ЛАП-а</w:t>
            </w:r>
          </w:p>
        </w:tc>
      </w:tr>
      <w:tr>
        <w:trPr>
          <w:trHeight w:val="422" w:hRule="auto"/>
          <w:jc w:val="left"/>
        </w:trPr>
        <w:tc>
          <w:tcPr>
            <w:tcW w:w="7887" w:type="dxa"/>
            <w:gridSpan w:val="8"/>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Индикатори циља</w:t>
            </w:r>
          </w:p>
        </w:tc>
        <w:tc>
          <w:tcPr>
            <w:tcW w:w="3240"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Базна вредност индикатора</w:t>
            </w:r>
          </w:p>
        </w:tc>
        <w:tc>
          <w:tcPr>
            <w:tcW w:w="5069" w:type="dxa"/>
            <w:gridSpan w:val="6"/>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Циљана (пројектована) </w:t>
            </w:r>
          </w:p>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вредност индикатора</w:t>
            </w:r>
          </w:p>
        </w:tc>
      </w:tr>
      <w:tr>
        <w:trPr>
          <w:trHeight w:val="422" w:hRule="auto"/>
          <w:jc w:val="left"/>
        </w:trPr>
        <w:tc>
          <w:tcPr>
            <w:tcW w:w="7887" w:type="dxa"/>
            <w:gridSpan w:val="8"/>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numPr>
                <w:ilvl w:val="0"/>
                <w:numId w:val="892"/>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Одређено лице/тело на нивоу ЈЛС које је задужено за координацију одговорних субјеката у спровођењу активности из ЛАП-а.</w:t>
            </w:r>
          </w:p>
          <w:p>
            <w:pPr>
              <w:numPr>
                <w:ilvl w:val="0"/>
                <w:numId w:val="892"/>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Формирано тело за праћење примене ЛАП-а.</w:t>
            </w:r>
          </w:p>
          <w:p>
            <w:pPr>
              <w:numPr>
                <w:ilvl w:val="0"/>
                <w:numId w:val="892"/>
              </w:numPr>
              <w:suppressLineNumbers w:val="true"/>
              <w:tabs>
                <w:tab w:val="left" w:pos="0" w:leader="none"/>
              </w:tabs>
              <w:suppressAutoHyphens w:val="true"/>
              <w:spacing w:before="0" w:after="0"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Реализоване мере из ЛАП-а, у складу са њима придруженим индикаторима и другим елементима из ЛАП-а. </w:t>
            </w:r>
          </w:p>
        </w:tc>
        <w:tc>
          <w:tcPr>
            <w:tcW w:w="3240" w:type="dxa"/>
            <w:gridSpan w:val="4"/>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Није применљиво (Н/А)</w:t>
            </w:r>
          </w:p>
        </w:tc>
        <w:tc>
          <w:tcPr>
            <w:tcW w:w="5069" w:type="dxa"/>
            <w:gridSpan w:val="6"/>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Није применљиво (Н/А)</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 бр. мере</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Назив мере</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Индикатор испуњености (квалитета) мере</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Активности</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Индикатори активности</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Одговорни субјект</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Рок</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Потребни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Напомене</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17.1.1</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Одредити лице/тело на нивоу ЈЛС које је задужено за координацију одговорних субјеката у спровођењу активности из ЛАП-а. </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Лице/тело задужено за координацију одговорних субјеката у спровођењу активности из ЛАП-а има обавезу да води рачуна о роковима за спровођење активности, да о доспелим роковима и обавезама благовремено обавештава одговорне субјекте, као и да врши техничко, организационо и административно усклађивање рада службеника/организационих једница и органа ЈЛС у процесу спровођења активности из ЛАП-а. </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Изменити и допунити Решење о именовању координатора з аинтегритет ЛС</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Измењено и допуњено Решење о именовању координатора за интегритет ЛС</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Градско веће </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7 </w:t>
            </w:r>
            <w:r>
              <w:rPr>
                <w:rFonts w:ascii="Times New Roman" w:hAnsi="Times New Roman" w:cs="Times New Roman" w:eastAsia="Times New Roman"/>
                <w:i/>
                <w:color w:val="auto"/>
                <w:spacing w:val="0"/>
                <w:position w:val="0"/>
                <w:sz w:val="24"/>
                <w:shd w:fill="auto" w:val="clear"/>
              </w:rPr>
              <w:t xml:space="preserve">дана од објављивања ревидираног ЛАП-а</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Решењем о именовању координатора за интегритет ЛС нису уређена сва битна питања за координацију одговорнисх субјеката у спровођењу ЛАП-а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17.1.2</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Формирати Комисију за избор чланова тела за праћење примене ЛАП-а.</w:t>
            </w:r>
          </w:p>
          <w:p>
            <w:pPr>
              <w:suppressLineNumbers w:val="true"/>
              <w:suppressAutoHyphens w:val="true"/>
              <w:spacing w:before="0" w:after="0" w:line="240"/>
              <w:ind w:right="0" w:left="0" w:firstLine="0"/>
              <w:jc w:val="left"/>
              <w:rPr>
                <w:color w:val="auto"/>
                <w:spacing w:val="0"/>
                <w:position w:val="0"/>
              </w:rPr>
            </w:pP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У Комисију је неопходно именовати представнике органа ЈЛС, локалних невладиних организација и удружења грађана, локалних медија и грађане, као и представнике других органа јавне власти (централних и покрајинских) који функционишу у локалној заједници, а који не представљају део система локалне самоуправе (на пример, представници правосудних и других органа).</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Препоручује се да представници органа ЈЛС и представници других органа јавне власти (централних и покрајинских) који функционишу у локалној заједници не чине већину у Комисији.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Комисија усваја свој пословник о раду, дефинише услове, критеријуме и мерила за избор чланова тела за праћење примене ЛАП-а, објављује јавни позив за достављање пријава за чланове тела за праћење ЛАП-а, односно </w:t>
            </w:r>
            <w:r>
              <w:rPr>
                <w:rFonts w:ascii="Times New Roman" w:hAnsi="Times New Roman" w:cs="Times New Roman" w:eastAsia="Times New Roman"/>
                <w:b/>
                <w:color w:val="auto"/>
                <w:spacing w:val="0"/>
                <w:position w:val="0"/>
                <w:sz w:val="24"/>
                <w:shd w:fill="auto" w:val="clear"/>
              </w:rPr>
              <w:t xml:space="preserve">расписује и спроводи јавни конкурс за избор чланова тела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циљу обезбеђивања независности тела, неопходно је да се у условима дефинише да кандидати, односно чланови будућег тела, између осталог:</w:t>
            </w:r>
          </w:p>
          <w:p>
            <w:pPr>
              <w:numPr>
                <w:ilvl w:val="0"/>
                <w:numId w:val="903"/>
              </w:numPr>
              <w:suppressLineNumbers w:val="true"/>
              <w:tabs>
                <w:tab w:val="left" w:pos="72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могу бити носиоци било које функције у политичкој странци; </w:t>
            </w:r>
          </w:p>
          <w:p>
            <w:pPr>
              <w:numPr>
                <w:ilvl w:val="0"/>
                <w:numId w:val="903"/>
              </w:numPr>
              <w:suppressLineNumbers w:val="true"/>
              <w:tabs>
                <w:tab w:val="left" w:pos="72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могу бити бити јавни функционери у смуслу одредаба чланова Закона о Агенцији за борбу против корупције; </w:t>
            </w:r>
          </w:p>
          <w:p>
            <w:pPr>
              <w:numPr>
                <w:ilvl w:val="0"/>
                <w:numId w:val="903"/>
              </w:numPr>
              <w:suppressLineNumbers w:val="true"/>
              <w:tabs>
                <w:tab w:val="left" w:pos="72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Нису радно ангажовани у органима ЈЛС по било ком основу (на одређено или неодређено време, ангажовани у форми рада ван радног односа и др.);</w:t>
            </w:r>
          </w:p>
          <w:p>
            <w:pPr>
              <w:numPr>
                <w:ilvl w:val="0"/>
                <w:numId w:val="903"/>
              </w:numPr>
              <w:suppressLineNumbers w:val="true"/>
              <w:tabs>
                <w:tab w:val="left" w:pos="72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Имају место пребивалишта на територији ЈЛС;</w:t>
            </w:r>
          </w:p>
          <w:p>
            <w:pPr>
              <w:numPr>
                <w:ilvl w:val="0"/>
                <w:numId w:val="903"/>
              </w:numPr>
              <w:suppressLineNumbers w:val="true"/>
              <w:tabs>
                <w:tab w:val="left" w:pos="72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Нису осуђивани или се против њих не води судски поступак за дела која се односе на корупцију.</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Комисија прима и разматра пристигле пријаве, оцењује формалну испуњеност услова, спроводи процедуру усменог и/или писменог тестирања кандидата у циљу формирања ранг листе на основу усвојених критеријума, јавно обављује листу пристиглих пријава и записнике о свом раду.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Чланови Комисије дају писане изјаве о непостојању приватног интереса у вези са учесницима конкурса или се изузимају из рада Комисије уколико такав интерес постоји. </w:t>
            </w:r>
          </w:p>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Комисија доставља Скупштини ЈЛС ранг листу кандидата са избор чланова тела, са образложењем.</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Донети решење о формирању Комисије за избор чланова тела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Усвојити акте Комисије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Размотрити пријаве кандидата за чланове ЛАФ</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Отклонити сукоб интереса код чланова Комисије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Утврдити ранг листу кандидата и доставити је Скупштини Града</w:t>
            </w:r>
          </w:p>
          <w:p>
            <w:pPr>
              <w:suppressLineNumbers w:val="true"/>
              <w:suppressAutoHyphens w:val="true"/>
              <w:spacing w:before="0" w:after="0" w:line="240"/>
              <w:ind w:right="0" w:left="0" w:firstLine="0"/>
              <w:jc w:val="left"/>
              <w:rPr>
                <w:color w:val="auto"/>
                <w:spacing w:val="0"/>
                <w:position w:val="0"/>
                <w:shd w:fill="auto" w:val="clear"/>
              </w:rPr>
            </w:pP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Формирана Комисија </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Комисија је усвојила акте потребне за њен рад</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Комисија је размотрила све пријаве кандидата за чланство у ЛАФ</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Чланови Комисије су дали изјаве о сукобу интереса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Комисија је утврила листу кандидата за ЛАФ и доставила је Скупштини Града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Градско веће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Комисија за избор чланова ЛАФ</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15.9.2019.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22.9.2019.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15.10.2019.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8.10.2019.</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30.10.2019.</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После формирања предлога ревизије ЛАП-а уследиће доношење одлуке о усвајању ЛАП-а након извршене ревизије</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Упоредо са тим, биће размотрени могући кандидати за чланове Комисије у складу са критеријумима </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17.1.3</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Именовати чланове тела за праћење примене ЛАП-а, односно усвојити акт о формирању тела за праћење примене ЛАП-а.  </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Скупштина ЈЛС, у складу са резултатима конкурса који спроводи Комисија, односно у складу са ранг листом кандидата, доноси одлуку о избору чланова тела за праћење примене ЛАП-а, односно усваја акт о формирању тела за праћење примене ЛАП-а; </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Предвидети да је за именовање и разрешење тела за праћење примене ЛАП-а потребна већина од укупног броја одборника. </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Усвајање Одлуке о избору чланова тела за праћење примене ЛАП-а</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Усвојена Одлука</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Скупштина Града</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15.9.2019.</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17.1.4</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Обезбедити неопходне техничке, кадровске и материјалне услове за рад тела за праћење примене ЛАП-а.</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Надлежни орган и службе ЈЛС обезбеђују просторије, опрему, буџет и административно-техничку подршку (најмање техничког секретара) за рад тела надлежног за праћење примене ЛАП-а. </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Обезбеђивање неопходних услова за рад ЛАФ-а укључујући отварање посебне маил адресе, класификационог броја у писарници, просторија за одржавање састанака, рачунара.</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Обезбеђени услови</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Градска управа</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Град нема средства ни могућности за ангажовање техничког секретара з апотребе рада овог тела</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17.1.5</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Усвојити акте о раду тела за праћење примене ЛАП-а. </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Тело за праћење примене ЛАП-а, у сарадњи са надлежним органима и службама ЈЛС, усваја пословник о свом раду, као и друга акта од значаја за рад тела.</w:t>
            </w: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Актима о раду тела потребно је предвидети активности тела које могу бити како од значаја за његов рад, тако и за отклањање ризика од корупције, за јачање свести локалне заједнице о значају, начинима препознавања и сузбијања корупције, као и за јачање надзорне улоге овог тела (на пример, организовање семинара, обука, едукација, објављивање извештаја и других информација о стању у области борбе против корупције на локалном нивоу, спровођење или учешће у активностима и пројектима који се односе на борбу против корупције на локалном нивоу, организовање координационих састанака са представницима других органа који функционишу у локалној зајединици, покретање сопствених иницијатива, давање савета и мишљења у вези са применом ЛАП-а, реаговања на представке поднете због сумње у непоштовање или непримењивање ЛАП-а, препоручивање мера у случају нереализовања мера или кршења ЛАП-а, као и на предлагање грађанског посматрача за оне мере из ЛАП-за које је тај институт предвиђен). </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Усвајање Пословника о раду ЛАФ-а</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Пословник</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ЛАФ</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При усвајању Пословника биће узети у обзир слични документи из других градова и општина</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17.1.6</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Усвојити акт о начину праћења примене ЛАП-а. </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Тело за праћење примене ЛАП-а, у сарадњи са надлежним органима и службама ЈЛС, усваја акт којим се прописује начин праћења ЛАП-а, а који садржи најмање следеће елементе: </w:t>
            </w:r>
          </w:p>
          <w:p>
            <w:pPr>
              <w:numPr>
                <w:ilvl w:val="0"/>
                <w:numId w:val="92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начин и рокове за извештавање одговорних субјеката о мерама и активностима које су прописане у ЛАП-у; </w:t>
            </w:r>
          </w:p>
          <w:p>
            <w:pPr>
              <w:numPr>
                <w:ilvl w:val="0"/>
                <w:numId w:val="92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начин за прикупљање других (алтернативних) информација о стању и статусу мера и активности прописаних у ЛАП-у;</w:t>
            </w:r>
          </w:p>
          <w:p>
            <w:pPr>
              <w:numPr>
                <w:ilvl w:val="0"/>
                <w:numId w:val="92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рокове за израду и објављивање извештаја о праћењу примене ЛАП-а; извештај се подноси Скупштини ЈЛС и презентује јавности најмање једном годишње;</w:t>
            </w:r>
          </w:p>
          <w:p>
            <w:pPr>
              <w:numPr>
                <w:ilvl w:val="0"/>
                <w:numId w:val="921"/>
              </w:numPr>
              <w:suppressLineNumbers w:val="true"/>
              <w:tabs>
                <w:tab w:val="left" w:pos="0" w:leader="none"/>
              </w:tabs>
              <w:suppressAutoHyphens w:val="true"/>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мере за поступање и позивање на одговорност надлежних служби и органа ЈЛС, као и других органа јавне власти и локалних актера у случају непоступања по мерама и активностима прописаних у ЛАП-у. </w:t>
            </w:r>
          </w:p>
          <w:p>
            <w:pPr>
              <w:numPr>
                <w:ilvl w:val="0"/>
                <w:numId w:val="921"/>
              </w:numPr>
              <w:suppressLineNumbers w:val="true"/>
              <w:tabs>
                <w:tab w:val="left" w:pos="0" w:leader="none"/>
              </w:tabs>
              <w:suppressAutoHyphens w:val="true"/>
              <w:spacing w:before="0" w:after="0"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предлоге за евентуалну ревизију ЛАП-а у складу са променама до којих дође у промени правног оквира, променом околности у ЈЛС и локалној заједници или у складу са проблемима и изазовима у примени ЛАП-а.</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Усвајање акта о начину праћења примене ЛАП-а</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Усвојен акт</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ЛАФ</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31.12.2019.</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нису потребни додатни ресурси</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При усвајању овог документа биће коришћени слични документи из других градова или општина</w:t>
            </w:r>
          </w:p>
        </w:tc>
      </w:tr>
      <w:tr>
        <w:trPr>
          <w:trHeight w:val="422" w:hRule="auto"/>
          <w:jc w:val="left"/>
        </w:trPr>
        <w:tc>
          <w:tcPr>
            <w:tcW w:w="20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17.1.7</w:t>
            </w:r>
          </w:p>
        </w:tc>
        <w:tc>
          <w:tcPr>
            <w:tcW w:w="158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Годишња награда за борбу против корупције</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Тело за праћење примене ЛАП-а, у сарадњи са надлежним органима и службама ЈЛС, усваја правилник којим се утврђују критеријуми и процедуре за кандидовање, награђивање и врсте награда</w:t>
            </w:r>
          </w:p>
        </w:tc>
        <w:tc>
          <w:tcPr>
            <w:tcW w:w="188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Усвајање Правилника</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Реализација процедуре избора добитника награда</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Усвојен Правилник</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Реализована процедура избора добитника награда</w:t>
            </w: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Тело за примену мера и активности из Локалног антикорупцијског плана - ЛАФ</w:t>
            </w:r>
          </w:p>
        </w:tc>
        <w:tc>
          <w:tcPr>
            <w:tcW w:w="131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Септембар 2020.</w:t>
            </w:r>
          </w:p>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Децембар 2020.</w:t>
            </w:r>
          </w:p>
        </w:tc>
        <w:tc>
          <w:tcPr>
            <w:tcW w:w="180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За спровођење ове активности ће бити опредељена средства из буџета Града</w:t>
            </w:r>
          </w:p>
        </w:tc>
        <w:tc>
          <w:tcPr>
            <w:tcW w:w="1953"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Мера додата из Биродијевог ЛАП-а</w:t>
            </w:r>
          </w:p>
        </w:tc>
      </w:tr>
      <w:tr>
        <w:trPr>
          <w:trHeight w:val="3763" w:hRule="auto"/>
          <w:jc w:val="left"/>
        </w:trPr>
        <w:tc>
          <w:tcPr>
            <w:tcW w:w="636" w:type="dxa"/>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0"/>
                <w:shd w:fill="00FF00" w:val="clear"/>
              </w:rPr>
              <w:t xml:space="preserve">1.1.1</w:t>
            </w:r>
          </w:p>
        </w:tc>
        <w:tc>
          <w:tcPr>
            <w:tcW w:w="2287"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0"/>
                <w:shd w:fill="00FF00" w:val="clear"/>
              </w:rPr>
              <w:t xml:space="preserve">Дефинисати области/врсте прописа за које је обавезна јавна расправа приликом доношења прописа.</w:t>
            </w:r>
          </w:p>
        </w:tc>
        <w:tc>
          <w:tcPr>
            <w:tcW w:w="2366"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0"/>
                <w:shd w:fill="00FF00" w:val="clear"/>
              </w:rPr>
              <w:t xml:space="preserve">Дефинисање области/врсте прописа спроведено кроз општи правни акт ЈЛС (Одлука Скупштине ЈЛС, обавезујуће упутство Скупштине ЈЛС, правилник који регулише процес јавних расправа и слично). </w:t>
            </w:r>
          </w:p>
        </w:tc>
        <w:tc>
          <w:tcPr>
            <w:tcW w:w="1890"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i/>
                <w:color w:val="auto"/>
                <w:spacing w:val="0"/>
                <w:position w:val="0"/>
                <w:sz w:val="20"/>
                <w:shd w:fill="00FF00" w:val="clear"/>
              </w:rPr>
              <w:t xml:space="preserve">Усвојена одлука </w:t>
            </w:r>
          </w:p>
        </w:tc>
        <w:tc>
          <w:tcPr>
            <w:tcW w:w="1549"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91"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313"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7" w:type="dxa"/>
            <w:gridSpan w:val="2"/>
            <w:tcBorders>
              <w:top w:val="single" w:color="000000" w:sz="4"/>
              <w:left w:val="single" w:color="000000" w:sz="4"/>
              <w:bottom w:val="single" w:color="000000" w:sz="4"/>
              <w:right w:val="single" w:color="000000" w:sz="0"/>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i/>
                <w:color w:val="auto"/>
                <w:spacing w:val="0"/>
                <w:position w:val="0"/>
                <w:sz w:val="20"/>
                <w:shd w:fill="00FF00" w:val="clear"/>
              </w:rPr>
              <w:t xml:space="preserve">За спровођење ове активности нису потребни додатни ресурси</w:t>
            </w:r>
          </w:p>
        </w:tc>
        <w:tc>
          <w:tcPr>
            <w:tcW w:w="1844" w:type="dxa"/>
            <w:gridSpan w:val="2"/>
            <w:tcBorders>
              <w:top w:val="single" w:color="000000" w:sz="4"/>
              <w:left w:val="single" w:color="000000" w:sz="4"/>
              <w:bottom w:val="single" w:color="000000" w:sz="4"/>
              <w:right w:val="single" w:color="000000" w:sz="4"/>
            </w:tcBorders>
            <w:shd w:color="000000" w:fill="ffffff" w:val="clear"/>
            <w:tcMar>
              <w:left w:w="54" w:type="dxa"/>
              <w:right w:w="54" w:type="dxa"/>
            </w:tcMar>
            <w:vAlign w:val="top"/>
          </w:tcPr>
          <w:p>
            <w:pPr>
              <w:suppressLineNumbers w:val="true"/>
              <w:suppressAutoHyphens w:val="true"/>
              <w:spacing w:before="0" w:after="0" w:line="240"/>
              <w:ind w:right="0" w:left="0" w:firstLine="0"/>
              <w:jc w:val="left"/>
              <w:rPr>
                <w:rFonts w:ascii="Times New Roman" w:hAnsi="Times New Roman" w:cs="Times New Roman" w:eastAsia="Times New Roman"/>
                <w:i/>
                <w:color w:val="auto"/>
                <w:spacing w:val="0"/>
                <w:position w:val="0"/>
                <w:sz w:val="20"/>
                <w:shd w:fill="00FF00" w:val="clear"/>
              </w:rPr>
            </w:pPr>
            <w:r>
              <w:rPr>
                <w:rFonts w:ascii="Times New Roman" w:hAnsi="Times New Roman" w:cs="Times New Roman" w:eastAsia="Times New Roman"/>
                <w:i/>
                <w:color w:val="auto"/>
                <w:spacing w:val="0"/>
                <w:position w:val="0"/>
                <w:sz w:val="20"/>
                <w:shd w:fill="00FF00" w:val="clear"/>
              </w:rPr>
              <w:t xml:space="preserve">Усвојена је Одлука о јавним расправама која садржи све потребне елементе</w:t>
            </w:r>
          </w:p>
          <w:p>
            <w:pPr>
              <w:suppressLineNumbers w:val="true"/>
              <w:suppressAutoHyphens w:val="true"/>
              <w:spacing w:before="0" w:after="0" w:line="240"/>
              <w:ind w:right="0" w:left="0" w:firstLine="0"/>
              <w:jc w:val="left"/>
              <w:rPr>
                <w:color w:val="auto"/>
                <w:spacing w:val="0"/>
                <w:position w:val="0"/>
              </w:rPr>
            </w:pPr>
            <w:r>
              <w:rPr>
                <w:rFonts w:ascii="Times New Roman" w:hAnsi="Times New Roman" w:cs="Times New Roman" w:eastAsia="Times New Roman"/>
                <w:i/>
                <w:color w:val="auto"/>
                <w:spacing w:val="0"/>
                <w:position w:val="0"/>
                <w:sz w:val="20"/>
                <w:shd w:fill="00FF00" w:val="clear"/>
              </w:rPr>
              <w:t xml:space="preserve">Објављено у Службеном гласнику бр.11/19</w:t>
            </w:r>
          </w:p>
        </w:tc>
      </w:tr>
    </w:tbl>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keepNext w:val="true"/>
        <w:keepLines w:val="true"/>
        <w:spacing w:before="480" w:after="0" w:line="240"/>
        <w:ind w:right="0" w:left="0" w:firstLine="0"/>
        <w:jc w:val="left"/>
        <w:rPr>
          <w:rFonts w:ascii="Times New Roman" w:hAnsi="Times New Roman" w:cs="Times New Roman" w:eastAsia="Times New Roman"/>
          <w:b/>
          <w:color w:val="C00000"/>
          <w:spacing w:val="0"/>
          <w:position w:val="0"/>
          <w:sz w:val="28"/>
          <w:u w:val="single"/>
          <w:shd w:fill="auto" w:val="clear"/>
        </w:rPr>
      </w:pPr>
    </w:p>
    <w:p>
      <w:pPr>
        <w:keepNext w:val="true"/>
        <w:keepLines w:val="true"/>
        <w:spacing w:before="480" w:after="0" w:line="240"/>
        <w:ind w:right="0" w:left="0" w:firstLine="0"/>
        <w:jc w:val="left"/>
        <w:rPr>
          <w:rFonts w:ascii="Times New Roman" w:hAnsi="Times New Roman" w:cs="Times New Roman" w:eastAsia="Times New Roman"/>
          <w:b/>
          <w:color w:val="C00000"/>
          <w:spacing w:val="0"/>
          <w:position w:val="0"/>
          <w:sz w:val="28"/>
          <w:u w:val="single"/>
          <w:shd w:fill="auto" w:val="clear"/>
        </w:rPr>
      </w:pPr>
    </w:p>
    <w:p>
      <w:pPr>
        <w:keepNext w:val="true"/>
        <w:keepLines w:val="true"/>
        <w:spacing w:before="480" w:after="0" w:line="240"/>
        <w:ind w:right="0" w:left="0" w:firstLine="0"/>
        <w:jc w:val="left"/>
        <w:rPr>
          <w:rFonts w:ascii="Times New Roman" w:hAnsi="Times New Roman" w:cs="Times New Roman" w:eastAsia="Times New Roman"/>
          <w:b/>
          <w:color w:val="C00000"/>
          <w:spacing w:val="0"/>
          <w:position w:val="0"/>
          <w:sz w:val="28"/>
          <w:u w:val="single"/>
          <w:shd w:fill="auto" w:val="clear"/>
        </w:rPr>
      </w:pPr>
    </w:p>
    <w:p>
      <w:pPr>
        <w:keepNext w:val="true"/>
        <w:keepLines w:val="true"/>
        <w:spacing w:before="480" w:after="0" w:line="240"/>
        <w:ind w:right="0" w:left="0" w:firstLine="0"/>
        <w:jc w:val="left"/>
        <w:rPr>
          <w:rFonts w:ascii="Times New Roman" w:hAnsi="Times New Roman" w:cs="Times New Roman" w:eastAsia="Times New Roman"/>
          <w:b/>
          <w:color w:val="C00000"/>
          <w:spacing w:val="0"/>
          <w:position w:val="0"/>
          <w:sz w:val="28"/>
          <w:u w:val="single"/>
          <w:shd w:fill="auto" w:val="clear"/>
        </w:rPr>
      </w:pPr>
    </w:p>
    <w:p>
      <w:pPr>
        <w:keepNext w:val="true"/>
        <w:keepLines w:val="true"/>
        <w:spacing w:before="480" w:after="0" w:line="240"/>
        <w:ind w:right="0" w:left="0" w:firstLine="0"/>
        <w:jc w:val="left"/>
        <w:rPr>
          <w:rFonts w:ascii="Times New Roman" w:hAnsi="Times New Roman" w:cs="Times New Roman" w:eastAsia="Times New Roman"/>
          <w:b/>
          <w:color w:val="C00000"/>
          <w:spacing w:val="0"/>
          <w:position w:val="0"/>
          <w:sz w:val="28"/>
          <w:u w:val="single"/>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num w:numId="55">
    <w:abstractNumId w:val="102"/>
  </w:num>
  <w:num w:numId="335">
    <w:abstractNumId w:val="96"/>
  </w:num>
  <w:num w:numId="368">
    <w:abstractNumId w:val="90"/>
  </w:num>
  <w:num w:numId="390">
    <w:abstractNumId w:val="84"/>
  </w:num>
  <w:num w:numId="405">
    <w:abstractNumId w:val="78"/>
  </w:num>
  <w:num w:numId="459">
    <w:abstractNumId w:val="72"/>
  </w:num>
  <w:num w:numId="529">
    <w:abstractNumId w:val="66"/>
  </w:num>
  <w:num w:numId="592">
    <w:abstractNumId w:val="60"/>
  </w:num>
  <w:num w:numId="635">
    <w:abstractNumId w:val="54"/>
  </w:num>
  <w:num w:numId="688">
    <w:abstractNumId w:val="48"/>
  </w:num>
  <w:num w:numId="722">
    <w:abstractNumId w:val="42"/>
  </w:num>
  <w:num w:numId="771">
    <w:abstractNumId w:val="36"/>
  </w:num>
  <w:num w:numId="843">
    <w:abstractNumId w:val="30"/>
  </w:num>
  <w:num w:numId="871">
    <w:abstractNumId w:val="24"/>
  </w:num>
  <w:num w:numId="880">
    <w:abstractNumId w:val="18"/>
  </w:num>
  <w:num w:numId="892">
    <w:abstractNumId w:val="12"/>
  </w:num>
  <w:num w:numId="903">
    <w:abstractNumId w:val="6"/>
  </w:num>
  <w:num w:numId="92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mailto:vece@vranje.org.rs" Id="docRId0" Type="http://schemas.openxmlformats.org/officeDocument/2006/relationships/hyperlink"/><Relationship TargetMode="External" Target="http://www.vranje.org.rs/" Id="docRId1" Type="http://schemas.openxmlformats.org/officeDocument/2006/relationships/hyperlink"/><Relationship Target="numbering.xml" Id="docRId2" Type="http://schemas.openxmlformats.org/officeDocument/2006/relationships/numbering"/><Relationship Target="styles.xml" Id="docRId3" Type="http://schemas.openxmlformats.org/officeDocument/2006/relationships/styles"/></Relationships>
</file>